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1247" w14:textId="77777777" w:rsidR="00007468" w:rsidRPr="00370DA2" w:rsidRDefault="00007468" w:rsidP="00007468">
      <w:pPr>
        <w:tabs>
          <w:tab w:val="left" w:pos="2295"/>
          <w:tab w:val="center" w:pos="4536"/>
        </w:tabs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SMLOUVA</w:t>
      </w:r>
    </w:p>
    <w:p w14:paraId="13CFFFFE" w14:textId="7A50C8AA" w:rsidR="00007468" w:rsidRPr="00370DA2" w:rsidRDefault="00007468" w:rsidP="00007468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 xml:space="preserve">   O DOD</w:t>
      </w:r>
      <w:r w:rsidR="009331BE">
        <w:rPr>
          <w:rFonts w:cstheme="minorHAnsi"/>
          <w:b/>
        </w:rPr>
        <w:t>ÁNÍ</w:t>
      </w:r>
      <w:r w:rsidRPr="00370DA2">
        <w:rPr>
          <w:rFonts w:cstheme="minorHAnsi"/>
          <w:b/>
        </w:rPr>
        <w:t xml:space="preserve"> </w:t>
      </w:r>
      <w:r w:rsidR="00717BB0">
        <w:rPr>
          <w:rFonts w:cstheme="minorHAnsi"/>
          <w:b/>
        </w:rPr>
        <w:t xml:space="preserve">A MONTÁŽI PROJEKTORŮ </w:t>
      </w:r>
    </w:p>
    <w:p w14:paraId="2D9C70B7" w14:textId="77777777" w:rsidR="00007468" w:rsidRPr="00370DA2" w:rsidRDefault="00007468" w:rsidP="00007468">
      <w:pPr>
        <w:spacing w:after="0"/>
        <w:jc w:val="center"/>
        <w:rPr>
          <w:rFonts w:cstheme="minorHAnsi"/>
          <w:i/>
        </w:rPr>
      </w:pPr>
      <w:r w:rsidRPr="00370DA2">
        <w:rPr>
          <w:rFonts w:cstheme="minorHAnsi"/>
          <w:i/>
        </w:rPr>
        <w:t>(dále jen „</w:t>
      </w:r>
      <w:r w:rsidRPr="00370DA2">
        <w:rPr>
          <w:rFonts w:cstheme="minorHAnsi"/>
          <w:b/>
          <w:i/>
        </w:rPr>
        <w:t>Smlouva</w:t>
      </w:r>
      <w:r w:rsidRPr="00370DA2">
        <w:rPr>
          <w:rFonts w:cstheme="minorHAnsi"/>
          <w:i/>
        </w:rPr>
        <w:t>“)</w:t>
      </w:r>
    </w:p>
    <w:p w14:paraId="659CF438" w14:textId="77777777" w:rsidR="00007468" w:rsidRPr="00370DA2" w:rsidRDefault="00007468" w:rsidP="0000746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906E5" w14:textId="5151FD15" w:rsidR="00007468" w:rsidRDefault="00007468" w:rsidP="00007468">
      <w:pPr>
        <w:jc w:val="center"/>
        <w:rPr>
          <w:rFonts w:cstheme="minorHAnsi"/>
          <w:b/>
          <w:bCs/>
        </w:rPr>
      </w:pPr>
      <w:r w:rsidRPr="00370DA2">
        <w:rPr>
          <w:rFonts w:cstheme="minorHAnsi"/>
          <w:b/>
          <w:bCs/>
        </w:rPr>
        <w:t>č. smlouvy zadavatele:</w:t>
      </w:r>
    </w:p>
    <w:p w14:paraId="1495036A" w14:textId="33B0B454" w:rsidR="00007468" w:rsidRDefault="00007468" w:rsidP="00007468">
      <w:pPr>
        <w:jc w:val="center"/>
        <w:rPr>
          <w:rFonts w:cstheme="minorHAnsi"/>
          <w:i/>
        </w:rPr>
      </w:pPr>
      <w:r w:rsidRPr="00370DA2">
        <w:rPr>
          <w:rFonts w:cstheme="minorHAnsi"/>
          <w:i/>
        </w:rPr>
        <w:t xml:space="preserve">uzavřená na základě </w:t>
      </w:r>
      <w:r>
        <w:rPr>
          <w:rFonts w:cstheme="minorHAnsi"/>
          <w:i/>
        </w:rPr>
        <w:t>poptávkového</w:t>
      </w:r>
      <w:r w:rsidRPr="00370DA2">
        <w:rPr>
          <w:rFonts w:cstheme="minorHAnsi"/>
          <w:i/>
        </w:rPr>
        <w:t xml:space="preserve"> řízení veřejné zakázky malého rozsahu (VZMR) v souladu s § 6 zákona č. 134/2016 Sb., o zadávání veřejných zakázek (dále jen jako „</w:t>
      </w:r>
      <w:r w:rsidRPr="00370DA2">
        <w:rPr>
          <w:rFonts w:cstheme="minorHAnsi"/>
          <w:b/>
          <w:i/>
        </w:rPr>
        <w:t>ZZVZ</w:t>
      </w:r>
      <w:r w:rsidRPr="00370DA2">
        <w:rPr>
          <w:rFonts w:cstheme="minorHAnsi"/>
          <w:i/>
        </w:rPr>
        <w:t>“) ve smyslu § 1746 odst. 2 občanského zákoníku (dále jen OZ), mezi smluvními stranami:</w:t>
      </w:r>
    </w:p>
    <w:p w14:paraId="2526C68B" w14:textId="77777777" w:rsidR="00007468" w:rsidRDefault="00007468" w:rsidP="00007468">
      <w:pPr>
        <w:jc w:val="center"/>
        <w:rPr>
          <w:rFonts w:cstheme="minorHAnsi"/>
          <w:i/>
        </w:rPr>
      </w:pPr>
    </w:p>
    <w:p w14:paraId="2F4DBB65" w14:textId="17AF8C73" w:rsidR="00007468" w:rsidRPr="00370DA2" w:rsidRDefault="00007468" w:rsidP="00007468">
      <w:pPr>
        <w:keepNext/>
        <w:keepLines/>
        <w:tabs>
          <w:tab w:val="left" w:pos="540"/>
        </w:tabs>
        <w:spacing w:after="0"/>
        <w:jc w:val="both"/>
        <w:rPr>
          <w:rFonts w:cstheme="minorHAnsi"/>
          <w:b/>
          <w:bCs/>
          <w:color w:val="000000"/>
        </w:rPr>
      </w:pPr>
      <w:r w:rsidRPr="00370DA2">
        <w:rPr>
          <w:rFonts w:cstheme="minorHAnsi"/>
          <w:b/>
          <w:bCs/>
          <w:color w:val="000000"/>
        </w:rPr>
        <w:t>Objednatel:</w:t>
      </w:r>
      <w:r w:rsidRPr="00370DA2">
        <w:rPr>
          <w:rFonts w:cstheme="minorHAnsi"/>
          <w:color w:val="000000"/>
        </w:rPr>
        <w:tab/>
      </w:r>
      <w:r w:rsidRPr="00007468">
        <w:rPr>
          <w:rFonts w:cstheme="minorHAnsi"/>
          <w:b/>
          <w:bCs/>
          <w:color w:val="000000"/>
        </w:rPr>
        <w:t>3. základní škola u Říčanského lesa Říčany, příspěvková organizace</w:t>
      </w:r>
    </w:p>
    <w:p w14:paraId="541ACD8F" w14:textId="4A607321" w:rsidR="00007468" w:rsidRPr="00370DA2" w:rsidRDefault="00007468" w:rsidP="00007468">
      <w:pPr>
        <w:keepNext/>
        <w:keepLines/>
        <w:tabs>
          <w:tab w:val="left" w:pos="1418"/>
        </w:tabs>
        <w:spacing w:after="0"/>
        <w:jc w:val="both"/>
        <w:rPr>
          <w:rFonts w:cstheme="minorHAnsi"/>
          <w:color w:val="000000"/>
        </w:rPr>
      </w:pPr>
      <w:r w:rsidRPr="00370DA2">
        <w:rPr>
          <w:rFonts w:cstheme="minorHAnsi"/>
          <w:color w:val="000000"/>
        </w:rPr>
        <w:t>se sídlem:</w:t>
      </w:r>
      <w:r w:rsidRPr="00370DA2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Školní 2400/4, 251 01 Říčany</w:t>
      </w:r>
    </w:p>
    <w:p w14:paraId="5C90C426" w14:textId="261773D9" w:rsidR="00007468" w:rsidRPr="00370DA2" w:rsidRDefault="00007468" w:rsidP="00007468">
      <w:pPr>
        <w:keepNext/>
        <w:keepLines/>
        <w:tabs>
          <w:tab w:val="left" w:pos="1418"/>
        </w:tabs>
        <w:spacing w:after="0"/>
        <w:jc w:val="both"/>
        <w:rPr>
          <w:rFonts w:cstheme="minorHAnsi"/>
          <w:color w:val="000000"/>
        </w:rPr>
      </w:pPr>
      <w:r w:rsidRPr="00370DA2">
        <w:rPr>
          <w:rFonts w:cstheme="minorHAnsi"/>
          <w:color w:val="000000"/>
        </w:rPr>
        <w:t xml:space="preserve">Zastoupený: </w:t>
      </w:r>
      <w:r w:rsidRPr="00370DA2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Mgr. Dalibor Dudek, ředitel školy</w:t>
      </w:r>
      <w:r w:rsidRPr="00370DA2">
        <w:rPr>
          <w:rFonts w:cstheme="minorHAnsi"/>
          <w:color w:val="000000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07468" w:rsidRPr="00370DA2" w14:paraId="52D775B2" w14:textId="77777777" w:rsidTr="00745699">
        <w:trPr>
          <w:trHeight w:val="4"/>
        </w:trPr>
        <w:tc>
          <w:tcPr>
            <w:tcW w:w="9209" w:type="dxa"/>
          </w:tcPr>
          <w:p w14:paraId="38C1CD22" w14:textId="13C32BAB" w:rsidR="00007468" w:rsidRPr="00370DA2" w:rsidRDefault="00007468" w:rsidP="00981735">
            <w:pPr>
              <w:spacing w:after="0"/>
              <w:ind w:left="-108"/>
              <w:rPr>
                <w:rFonts w:cstheme="minorHAnsi"/>
              </w:rPr>
            </w:pPr>
            <w:proofErr w:type="gramStart"/>
            <w:r w:rsidRPr="00370DA2">
              <w:rPr>
                <w:rFonts w:cstheme="minorHAnsi"/>
              </w:rPr>
              <w:t xml:space="preserve">IČ: </w:t>
            </w:r>
            <w:r w:rsidR="00745699">
              <w:rPr>
                <w:rFonts w:cstheme="minorHAnsi"/>
              </w:rPr>
              <w:t xml:space="preserve">  </w:t>
            </w:r>
            <w:proofErr w:type="gramEnd"/>
            <w:r w:rsidR="00745699">
              <w:rPr>
                <w:rFonts w:cstheme="minorHAnsi"/>
              </w:rPr>
              <w:t xml:space="preserve">                     </w:t>
            </w:r>
            <w:r w:rsidR="00745699" w:rsidRPr="00745699">
              <w:rPr>
                <w:rFonts w:cstheme="minorHAnsi"/>
              </w:rPr>
              <w:t>72045396</w:t>
            </w:r>
          </w:p>
          <w:p w14:paraId="7DE75755" w14:textId="1ECD8EDC" w:rsidR="00007468" w:rsidRPr="00370DA2" w:rsidRDefault="00007468" w:rsidP="00981735">
            <w:pPr>
              <w:spacing w:after="0"/>
              <w:ind w:left="-108"/>
              <w:rPr>
                <w:rFonts w:cstheme="minorHAnsi"/>
              </w:rPr>
            </w:pPr>
            <w:proofErr w:type="gramStart"/>
            <w:r w:rsidRPr="00370DA2">
              <w:rPr>
                <w:rFonts w:cstheme="minorHAnsi"/>
              </w:rPr>
              <w:t xml:space="preserve">DIČ: </w:t>
            </w:r>
            <w:r w:rsidR="00745699">
              <w:rPr>
                <w:rFonts w:cstheme="minorHAnsi"/>
              </w:rPr>
              <w:t xml:space="preserve">  </w:t>
            </w:r>
            <w:proofErr w:type="gramEnd"/>
            <w:r w:rsidR="00745699">
              <w:rPr>
                <w:rFonts w:cstheme="minorHAnsi"/>
              </w:rPr>
              <w:t xml:space="preserve">                  </w:t>
            </w:r>
            <w:r w:rsidRPr="00370DA2">
              <w:rPr>
                <w:rFonts w:cstheme="minorHAnsi"/>
              </w:rPr>
              <w:t>CZ</w:t>
            </w:r>
            <w:r w:rsidR="00745699" w:rsidRPr="00745699">
              <w:rPr>
                <w:rFonts w:cstheme="minorHAnsi"/>
              </w:rPr>
              <w:t>72045396</w:t>
            </w:r>
          </w:p>
          <w:p w14:paraId="2F0E4ABF" w14:textId="08F3C406" w:rsidR="00007468" w:rsidRPr="00370DA2" w:rsidRDefault="00007468" w:rsidP="00981735">
            <w:pPr>
              <w:ind w:left="-108"/>
              <w:rPr>
                <w:rFonts w:cstheme="minorHAnsi"/>
              </w:rPr>
            </w:pPr>
            <w:r w:rsidRPr="00370DA2">
              <w:rPr>
                <w:rFonts w:cstheme="minorHAnsi"/>
              </w:rPr>
              <w:t xml:space="preserve">Bankovní spojení: Komerční banka č. </w:t>
            </w:r>
            <w:proofErr w:type="spellStart"/>
            <w:r w:rsidRPr="00370DA2">
              <w:rPr>
                <w:rFonts w:cstheme="minorHAnsi"/>
              </w:rPr>
              <w:t>ú.</w:t>
            </w:r>
            <w:proofErr w:type="spellEnd"/>
            <w:r w:rsidR="00745699">
              <w:t xml:space="preserve"> </w:t>
            </w:r>
            <w:r w:rsidR="00745699" w:rsidRPr="00745699">
              <w:rPr>
                <w:rFonts w:cstheme="minorHAnsi"/>
              </w:rPr>
              <w:t>2063225329</w:t>
            </w:r>
            <w:r w:rsidR="00745699">
              <w:rPr>
                <w:rFonts w:cstheme="minorHAnsi"/>
              </w:rPr>
              <w:t>/0800</w:t>
            </w:r>
          </w:p>
          <w:p w14:paraId="52564665" w14:textId="77777777" w:rsidR="00007468" w:rsidRPr="00370DA2" w:rsidRDefault="00007468" w:rsidP="00981735">
            <w:pPr>
              <w:suppressAutoHyphens/>
              <w:spacing w:after="0"/>
              <w:jc w:val="both"/>
              <w:rPr>
                <w:rFonts w:cstheme="minorHAnsi"/>
                <w:lang w:eastAsia="ar-SA"/>
              </w:rPr>
            </w:pPr>
          </w:p>
        </w:tc>
      </w:tr>
    </w:tbl>
    <w:p w14:paraId="2ECB01CF" w14:textId="77777777" w:rsidR="00007468" w:rsidRPr="00370DA2" w:rsidRDefault="00007468" w:rsidP="00007468">
      <w:pPr>
        <w:rPr>
          <w:rFonts w:cstheme="minorHAnsi"/>
          <w:color w:val="000000"/>
        </w:rPr>
      </w:pPr>
      <w:r w:rsidRPr="00370DA2">
        <w:rPr>
          <w:rFonts w:cstheme="minorHAnsi"/>
          <w:color w:val="000000"/>
        </w:rPr>
        <w:t>(dále jen „objednatel“)</w:t>
      </w:r>
    </w:p>
    <w:p w14:paraId="3D113B5D" w14:textId="77777777" w:rsidR="00007468" w:rsidRPr="00370DA2" w:rsidRDefault="00007468" w:rsidP="00007468">
      <w:pPr>
        <w:rPr>
          <w:rFonts w:cstheme="minorHAnsi"/>
          <w:color w:val="000000"/>
        </w:rPr>
      </w:pPr>
      <w:r w:rsidRPr="00370DA2">
        <w:rPr>
          <w:rFonts w:cstheme="minorHAnsi"/>
          <w:color w:val="000000"/>
        </w:rPr>
        <w:t xml:space="preserve">a   </w:t>
      </w:r>
    </w:p>
    <w:p w14:paraId="501678B9" w14:textId="1DEEA22A" w:rsidR="00745699" w:rsidRPr="00370DA2" w:rsidRDefault="00745699" w:rsidP="00745699">
      <w:pPr>
        <w:spacing w:after="0"/>
        <w:rPr>
          <w:rFonts w:cstheme="minorHAnsi"/>
          <w:b/>
          <w:bCs/>
        </w:rPr>
      </w:pPr>
      <w:r w:rsidRPr="009662DD">
        <w:rPr>
          <w:rFonts w:cstheme="minorHAnsi"/>
          <w:b/>
          <w:bCs/>
          <w:highlight w:val="yellow"/>
        </w:rPr>
        <w:t>Dodavatel:</w:t>
      </w:r>
      <w:r w:rsidRPr="00370DA2">
        <w:rPr>
          <w:rFonts w:cstheme="minorHAnsi"/>
          <w:b/>
          <w:bCs/>
        </w:rPr>
        <w:tab/>
      </w:r>
      <w:r w:rsidR="009662DD">
        <w:rPr>
          <w:rFonts w:cstheme="minorHAnsi"/>
          <w:highlight w:val="lightGray"/>
        </w:rPr>
        <w:t xml:space="preserve">                           </w:t>
      </w:r>
      <w:r>
        <w:rPr>
          <w:rFonts w:cstheme="minorHAnsi"/>
          <w:b/>
          <w:bCs/>
        </w:rPr>
        <w:t xml:space="preserve">                                        </w:t>
      </w:r>
    </w:p>
    <w:p w14:paraId="09223251" w14:textId="4D9535A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se </w:t>
      </w:r>
      <w:r w:rsidRPr="009662DD">
        <w:rPr>
          <w:rFonts w:cstheme="minorHAnsi"/>
          <w:color w:val="000000"/>
          <w:highlight w:val="yellow"/>
        </w:rPr>
        <w:t xml:space="preserve">sídlem:  </w:t>
      </w:r>
      <w:r w:rsidRPr="009662DD">
        <w:rPr>
          <w:rFonts w:cstheme="minorHAnsi"/>
          <w:b/>
          <w:bCs/>
          <w:highlight w:val="yellow"/>
        </w:rPr>
        <w:t xml:space="preserve">     </w:t>
      </w:r>
      <w:r w:rsidRPr="009662DD">
        <w:rPr>
          <w:rFonts w:cstheme="minorHAnsi"/>
          <w:highlight w:val="yellow"/>
        </w:rPr>
        <w:t xml:space="preserve">                         </w:t>
      </w:r>
    </w:p>
    <w:p w14:paraId="7FF1107C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zapsaný                                      </w:t>
      </w:r>
      <w:r w:rsidRPr="009662DD">
        <w:rPr>
          <w:rFonts w:cstheme="minorHAnsi"/>
          <w:color w:val="A6A6A6"/>
          <w:highlight w:val="yellow"/>
        </w:rPr>
        <w:tab/>
      </w:r>
    </w:p>
    <w:p w14:paraId="5E1254B0" w14:textId="1DB8521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zastoupený:                                          </w:t>
      </w:r>
    </w:p>
    <w:p w14:paraId="0047D6A8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>IČ:</w:t>
      </w:r>
      <w:r w:rsidRPr="009662DD">
        <w:rPr>
          <w:rFonts w:cstheme="minorHAnsi"/>
          <w:highlight w:val="yellow"/>
        </w:rPr>
        <w:tab/>
        <w:t xml:space="preserve">                               </w:t>
      </w:r>
    </w:p>
    <w:p w14:paraId="5F02A207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DIČ:                                            </w:t>
      </w:r>
    </w:p>
    <w:p w14:paraId="030ECCD3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  <w:u w:val="single"/>
        </w:rPr>
        <w:t>Zástupce ve věcech smluvních</w:t>
      </w:r>
      <w:r w:rsidRPr="009662DD">
        <w:rPr>
          <w:rFonts w:cstheme="minorHAnsi"/>
          <w:highlight w:val="yellow"/>
        </w:rPr>
        <w:t xml:space="preserve">: </w:t>
      </w:r>
    </w:p>
    <w:p w14:paraId="69D47A30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Mobil                                   </w:t>
      </w:r>
      <w:proofErr w:type="gramStart"/>
      <w:r w:rsidRPr="009662DD">
        <w:rPr>
          <w:rFonts w:cstheme="minorHAnsi"/>
          <w:highlight w:val="yellow"/>
        </w:rPr>
        <w:t xml:space="preserve">  ,</w:t>
      </w:r>
      <w:proofErr w:type="gramEnd"/>
      <w:r w:rsidRPr="009662DD">
        <w:rPr>
          <w:rFonts w:cstheme="minorHAnsi"/>
          <w:highlight w:val="yellow"/>
        </w:rPr>
        <w:t xml:space="preserve">  e-mail:                                        </w:t>
      </w:r>
    </w:p>
    <w:p w14:paraId="176084D8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  <w:u w:val="single"/>
        </w:rPr>
        <w:t xml:space="preserve">Zástupce ve věcech </w:t>
      </w:r>
      <w:proofErr w:type="gramStart"/>
      <w:r w:rsidRPr="009662DD">
        <w:rPr>
          <w:rFonts w:cstheme="minorHAnsi"/>
          <w:highlight w:val="yellow"/>
          <w:u w:val="single"/>
        </w:rPr>
        <w:t>technických</w:t>
      </w:r>
      <w:r w:rsidRPr="009662DD">
        <w:rPr>
          <w:rFonts w:cstheme="minorHAnsi"/>
          <w:highlight w:val="yellow"/>
        </w:rPr>
        <w:t>:  ,</w:t>
      </w:r>
      <w:proofErr w:type="gramEnd"/>
      <w:r w:rsidRPr="009662DD">
        <w:rPr>
          <w:rFonts w:cstheme="minorHAnsi"/>
          <w:highlight w:val="yellow"/>
        </w:rPr>
        <w:t xml:space="preserve"> </w:t>
      </w:r>
    </w:p>
    <w:p w14:paraId="6CD5112E" w14:textId="72AF456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Mobil </w:t>
      </w:r>
      <w:bookmarkStart w:id="0" w:name="_Hlk170403607"/>
      <w:r w:rsidRPr="009662DD">
        <w:rPr>
          <w:rFonts w:cstheme="minorHAnsi"/>
          <w:highlight w:val="yellow"/>
        </w:rPr>
        <w:t xml:space="preserve">                         </w:t>
      </w:r>
      <w:proofErr w:type="gramStart"/>
      <w:r w:rsidRPr="009662DD">
        <w:rPr>
          <w:rFonts w:cstheme="minorHAnsi"/>
          <w:highlight w:val="yellow"/>
        </w:rPr>
        <w:t xml:space="preserve">  </w:t>
      </w:r>
      <w:bookmarkEnd w:id="0"/>
      <w:r w:rsidRPr="009662DD">
        <w:rPr>
          <w:rFonts w:cstheme="minorHAnsi"/>
          <w:highlight w:val="yellow"/>
        </w:rPr>
        <w:t>,</w:t>
      </w:r>
      <w:proofErr w:type="gramEnd"/>
      <w:r w:rsidRPr="009662DD">
        <w:rPr>
          <w:rFonts w:cstheme="minorHAnsi"/>
          <w:highlight w:val="yellow"/>
        </w:rPr>
        <w:t xml:space="preserve"> e-mail:     </w:t>
      </w:r>
      <w:r w:rsidR="009662DD" w:rsidRPr="009662DD">
        <w:rPr>
          <w:rFonts w:cstheme="minorHAnsi"/>
          <w:highlight w:val="yellow"/>
        </w:rPr>
        <w:t xml:space="preserve">                       </w:t>
      </w:r>
      <w:r w:rsidRPr="009662DD">
        <w:rPr>
          <w:rFonts w:cstheme="minorHAnsi"/>
          <w:highlight w:val="yellow"/>
        </w:rPr>
        <w:t xml:space="preserve">                              </w:t>
      </w:r>
    </w:p>
    <w:p w14:paraId="45011330" w14:textId="77777777" w:rsidR="00745699" w:rsidRPr="009662DD" w:rsidRDefault="00745699" w:rsidP="00745699">
      <w:pPr>
        <w:spacing w:after="0"/>
        <w:rPr>
          <w:rFonts w:cstheme="minorHAnsi"/>
          <w:highlight w:val="yellow"/>
        </w:rPr>
      </w:pPr>
      <w:r w:rsidRPr="009662DD">
        <w:rPr>
          <w:rFonts w:cstheme="minorHAnsi"/>
          <w:highlight w:val="yellow"/>
        </w:rPr>
        <w:t xml:space="preserve">Bankovní spojení:                                 </w:t>
      </w:r>
    </w:p>
    <w:p w14:paraId="102867BF" w14:textId="7C6817C5" w:rsidR="00745699" w:rsidRPr="00745699" w:rsidRDefault="00745699" w:rsidP="00745699">
      <w:pPr>
        <w:spacing w:after="0"/>
        <w:rPr>
          <w:rFonts w:cstheme="minorHAnsi"/>
        </w:rPr>
      </w:pPr>
      <w:proofErr w:type="spellStart"/>
      <w:r w:rsidRPr="009662DD">
        <w:rPr>
          <w:rFonts w:cstheme="minorHAnsi"/>
          <w:highlight w:val="yellow"/>
        </w:rPr>
        <w:t>Č.ú</w:t>
      </w:r>
      <w:proofErr w:type="spellEnd"/>
      <w:r w:rsidRPr="009662DD">
        <w:rPr>
          <w:rFonts w:cstheme="minorHAnsi"/>
          <w:highlight w:val="yellow"/>
        </w:rPr>
        <w:t>.:</w:t>
      </w:r>
      <w:r w:rsidRPr="00370DA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</w:t>
      </w:r>
      <w:r w:rsidRPr="00370DA2">
        <w:rPr>
          <w:rFonts w:cstheme="minorHAnsi"/>
        </w:rPr>
        <w:t xml:space="preserve"> </w:t>
      </w:r>
    </w:p>
    <w:p w14:paraId="7AD302EE" w14:textId="77777777" w:rsidR="00745699" w:rsidRDefault="00745699" w:rsidP="00745699">
      <w:pPr>
        <w:rPr>
          <w:rFonts w:cstheme="minorHAnsi"/>
          <w:color w:val="000000"/>
        </w:rPr>
      </w:pPr>
    </w:p>
    <w:p w14:paraId="6BEBB76E" w14:textId="77777777" w:rsidR="00745699" w:rsidRDefault="00745699" w:rsidP="00745699">
      <w:pPr>
        <w:rPr>
          <w:rFonts w:cstheme="minorHAnsi"/>
          <w:color w:val="000000"/>
        </w:rPr>
      </w:pPr>
    </w:p>
    <w:p w14:paraId="7920B89D" w14:textId="0C246963" w:rsidR="00745699" w:rsidRPr="00370DA2" w:rsidRDefault="00745699" w:rsidP="00745699">
      <w:pPr>
        <w:rPr>
          <w:rFonts w:cstheme="minorHAnsi"/>
          <w:color w:val="000000"/>
        </w:rPr>
      </w:pPr>
      <w:r w:rsidRPr="00370DA2">
        <w:rPr>
          <w:rFonts w:cstheme="minorHAnsi"/>
          <w:color w:val="000000"/>
        </w:rPr>
        <w:t>(dále jen „dodavatel“)</w:t>
      </w:r>
    </w:p>
    <w:p w14:paraId="77576202" w14:textId="77777777" w:rsidR="00745699" w:rsidRDefault="00745699" w:rsidP="00745699">
      <w:pPr>
        <w:rPr>
          <w:rFonts w:cstheme="minorHAnsi"/>
          <w:color w:val="000000"/>
        </w:rPr>
      </w:pPr>
      <w:r w:rsidRPr="00370DA2">
        <w:rPr>
          <w:rFonts w:cstheme="minorHAnsi"/>
          <w:color w:val="000000"/>
        </w:rPr>
        <w:t>(společně též jako „smluvní strany“)</w:t>
      </w:r>
    </w:p>
    <w:p w14:paraId="0F7F43C1" w14:textId="77777777" w:rsidR="00717BB0" w:rsidRDefault="00717BB0" w:rsidP="00745699">
      <w:pPr>
        <w:rPr>
          <w:rFonts w:cstheme="minorHAnsi"/>
          <w:color w:val="000000"/>
        </w:rPr>
      </w:pPr>
    </w:p>
    <w:p w14:paraId="45D6D2A7" w14:textId="77777777" w:rsidR="00717BB0" w:rsidRPr="00370DA2" w:rsidRDefault="00717BB0" w:rsidP="00745699">
      <w:pPr>
        <w:rPr>
          <w:rFonts w:cstheme="minorHAnsi"/>
          <w:color w:val="000000"/>
        </w:rPr>
      </w:pPr>
    </w:p>
    <w:p w14:paraId="54802EF4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lastRenderedPageBreak/>
        <w:t>PREAMBULE</w:t>
      </w:r>
    </w:p>
    <w:p w14:paraId="54962175" w14:textId="78A88C14" w:rsidR="00745699" w:rsidRPr="00370DA2" w:rsidRDefault="00745699" w:rsidP="00745699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Tato Smlouva je uzavírána na základě výsledků </w:t>
      </w:r>
      <w:r>
        <w:rPr>
          <w:rFonts w:cstheme="minorHAnsi"/>
        </w:rPr>
        <w:t>poptávkového</w:t>
      </w:r>
      <w:r w:rsidRPr="00370DA2">
        <w:rPr>
          <w:rFonts w:cstheme="minorHAnsi"/>
        </w:rPr>
        <w:t> řízení na veřejnou zakázku s názvem „</w:t>
      </w:r>
      <w:r w:rsidR="00717BB0" w:rsidRPr="00717BB0">
        <w:rPr>
          <w:rFonts w:cstheme="minorHAnsi"/>
          <w:i/>
        </w:rPr>
        <w:t>3. základní škola u Říčanského lesa – dodávka projektorů s držáky</w:t>
      </w:r>
      <w:r w:rsidRPr="0007356C">
        <w:rPr>
          <w:rFonts w:cstheme="minorHAnsi"/>
        </w:rPr>
        <w:t>“,</w:t>
      </w:r>
      <w:r w:rsidRPr="00370DA2">
        <w:rPr>
          <w:rFonts w:cstheme="minorHAnsi"/>
        </w:rPr>
        <w:t xml:space="preserve"> ve kterém byla nabídka Dodavatele vybrána jako nejvhodnější.</w:t>
      </w:r>
    </w:p>
    <w:p w14:paraId="1E8E55AE" w14:textId="157D12C1" w:rsidR="00745699" w:rsidRPr="00370DA2" w:rsidRDefault="00745699" w:rsidP="00745699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Dodavatel tímto prohlašuje, že bude výlučným vlastníkem </w:t>
      </w:r>
      <w:r w:rsidR="00717BB0">
        <w:rPr>
          <w:rFonts w:cstheme="minorHAnsi"/>
        </w:rPr>
        <w:t>předmětu koupě</w:t>
      </w:r>
      <w:r w:rsidRPr="00370DA2">
        <w:rPr>
          <w:rFonts w:cstheme="minorHAnsi"/>
        </w:rPr>
        <w:t>, tj. movitých věcí (dále též jako „zboží“)</w:t>
      </w:r>
      <w:r w:rsidR="00717BB0">
        <w:rPr>
          <w:rFonts w:cstheme="minorHAnsi"/>
        </w:rPr>
        <w:t xml:space="preserve"> a </w:t>
      </w:r>
      <w:r w:rsidRPr="00370DA2">
        <w:rPr>
          <w:rFonts w:cstheme="minorHAnsi"/>
        </w:rPr>
        <w:t>že mu nejsou známy žádné okolnosti, které by prodeji zboží bránily.</w:t>
      </w:r>
    </w:p>
    <w:p w14:paraId="35856E2A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I.</w:t>
      </w:r>
    </w:p>
    <w:p w14:paraId="5AE006F1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PŘEDMĚT SMLOUVY</w:t>
      </w:r>
    </w:p>
    <w:p w14:paraId="5F77228A" w14:textId="6639C80B" w:rsidR="00745699" w:rsidRPr="00370DA2" w:rsidRDefault="00745699" w:rsidP="00745699">
      <w:pPr>
        <w:pStyle w:val="Odstavecseseznamem"/>
        <w:numPr>
          <w:ilvl w:val="0"/>
          <w:numId w:val="2"/>
        </w:numPr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Předmětem této Smlouvy jsou dodávky „</w:t>
      </w:r>
      <w:r w:rsidRPr="00370DA2">
        <w:rPr>
          <w:rFonts w:cstheme="minorHAnsi"/>
          <w:b/>
        </w:rPr>
        <w:t>zboží</w:t>
      </w:r>
      <w:r w:rsidRPr="00370DA2">
        <w:rPr>
          <w:rFonts w:cstheme="minorHAnsi"/>
        </w:rPr>
        <w:t>“</w:t>
      </w:r>
      <w:r>
        <w:rPr>
          <w:rFonts w:cstheme="minorHAnsi"/>
        </w:rPr>
        <w:t xml:space="preserve"> dle specifikace v </w:t>
      </w:r>
      <w:r w:rsidRPr="00370DA2">
        <w:rPr>
          <w:rFonts w:cstheme="minorHAnsi"/>
        </w:rPr>
        <w:t>přílo</w:t>
      </w:r>
      <w:r>
        <w:rPr>
          <w:rFonts w:cstheme="minorHAnsi"/>
        </w:rPr>
        <w:t>ze</w:t>
      </w:r>
      <w:r w:rsidRPr="00370DA2">
        <w:rPr>
          <w:rFonts w:cstheme="minorHAnsi"/>
        </w:rPr>
        <w:t xml:space="preserve"> č. 1 této Smlouvy</w:t>
      </w:r>
      <w:r>
        <w:rPr>
          <w:rFonts w:cstheme="minorHAnsi"/>
        </w:rPr>
        <w:t xml:space="preserve">, která </w:t>
      </w:r>
      <w:r w:rsidRPr="00370DA2">
        <w:rPr>
          <w:rFonts w:cstheme="minorHAnsi"/>
        </w:rPr>
        <w:t xml:space="preserve">je její nedílnou součástí. </w:t>
      </w:r>
    </w:p>
    <w:p w14:paraId="787503E9" w14:textId="77777777" w:rsidR="00745699" w:rsidRPr="00370DA2" w:rsidRDefault="00745699" w:rsidP="00745699">
      <w:pPr>
        <w:pStyle w:val="Odstavecseseznamem"/>
        <w:numPr>
          <w:ilvl w:val="0"/>
          <w:numId w:val="2"/>
        </w:numPr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Požadavky na technické parametry a užitné vlastnosti zboží jsou uvedeny v příloze č. 2. Technické parametry zboží jsou stanoveny jako limitní. To znamená, že je-li požadována min. nebo max. hodnota technického parametru, je prodávající povinen dodat zboží se shodnou nebo lepší hodnotou požadovaného parametru.</w:t>
      </w:r>
    </w:p>
    <w:p w14:paraId="3C24048B" w14:textId="77777777" w:rsidR="00745699" w:rsidRPr="00370DA2" w:rsidRDefault="00745699" w:rsidP="00745699">
      <w:pPr>
        <w:pStyle w:val="Odstavecseseznamem"/>
        <w:numPr>
          <w:ilvl w:val="0"/>
          <w:numId w:val="2"/>
        </w:numPr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Dodavatel se zavazuje, že zboží bude vždy nové, nepoužité a originální.</w:t>
      </w:r>
    </w:p>
    <w:p w14:paraId="4347F930" w14:textId="488467CF" w:rsidR="00745699" w:rsidRPr="00370DA2" w:rsidRDefault="00745699" w:rsidP="00745699">
      <w:pPr>
        <w:pStyle w:val="Odstavecseseznamem"/>
        <w:numPr>
          <w:ilvl w:val="0"/>
          <w:numId w:val="2"/>
        </w:numPr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Objednatel vyzv</w:t>
      </w:r>
      <w:r w:rsidR="009331BE">
        <w:rPr>
          <w:rFonts w:cstheme="minorHAnsi"/>
        </w:rPr>
        <w:t>e</w:t>
      </w:r>
      <w:r w:rsidRPr="00370DA2">
        <w:rPr>
          <w:rFonts w:cstheme="minorHAnsi"/>
        </w:rPr>
        <w:t xml:space="preserve"> Dodavatele k poskytnutí plnění v souladu s touto Smlouvou. </w:t>
      </w:r>
      <w:r w:rsidR="009331BE">
        <w:rPr>
          <w:rFonts w:cstheme="minorHAnsi"/>
        </w:rPr>
        <w:t>Dodavatel je povinen „zboží“ dodat do 3</w:t>
      </w:r>
      <w:r w:rsidR="00717BB0">
        <w:rPr>
          <w:rFonts w:cstheme="minorHAnsi"/>
        </w:rPr>
        <w:t>0</w:t>
      </w:r>
      <w:r w:rsidR="009331BE">
        <w:rPr>
          <w:rFonts w:cstheme="minorHAnsi"/>
        </w:rPr>
        <w:t>.</w:t>
      </w:r>
      <w:r w:rsidR="00717BB0">
        <w:rPr>
          <w:rFonts w:cstheme="minorHAnsi"/>
        </w:rPr>
        <w:t>11</w:t>
      </w:r>
      <w:r w:rsidR="009331BE">
        <w:rPr>
          <w:rFonts w:cstheme="minorHAnsi"/>
        </w:rPr>
        <w:t>.2024.</w:t>
      </w:r>
      <w:r w:rsidRPr="00370DA2">
        <w:rPr>
          <w:rFonts w:cstheme="minorHAnsi"/>
        </w:rPr>
        <w:t xml:space="preserve"> </w:t>
      </w:r>
    </w:p>
    <w:p w14:paraId="34502CA0" w14:textId="77F84B37" w:rsidR="00745699" w:rsidRPr="00717BB0" w:rsidRDefault="00745699" w:rsidP="00F520E9">
      <w:pPr>
        <w:pStyle w:val="Odstavecseseznamem"/>
        <w:numPr>
          <w:ilvl w:val="0"/>
          <w:numId w:val="2"/>
        </w:numPr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Objednatel se zavazuje zboží řádně dodané v požadovaném množství, druhu, jakosti a termínu převzít a zaplatit za něj kupní cenu v souladu s touto Smlouvou. </w:t>
      </w:r>
    </w:p>
    <w:p w14:paraId="02CCBB37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III.</w:t>
      </w:r>
    </w:p>
    <w:p w14:paraId="0336CC3B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DOBA A MÍSTO PLNĚNÍ, DODACÍ PODMÍNKY</w:t>
      </w:r>
    </w:p>
    <w:p w14:paraId="68459D18" w14:textId="5DDB8EE5" w:rsidR="00745699" w:rsidRPr="00370DA2" w:rsidRDefault="00745699" w:rsidP="00745699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K dodání zboží dojde dnem jeho protokolárního převzetí, tj. dnem podpisu dodacího listu Objednatelem, a to osobou oprávněnou vystavovat objednávky. </w:t>
      </w:r>
    </w:p>
    <w:p w14:paraId="51A89241" w14:textId="63C92302" w:rsidR="00745699" w:rsidRPr="00370DA2" w:rsidRDefault="00F520E9" w:rsidP="00745699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Dodávka</w:t>
      </w:r>
      <w:r w:rsidR="00745699" w:rsidRPr="00370DA2">
        <w:rPr>
          <w:rFonts w:cstheme="minorHAnsi"/>
        </w:rPr>
        <w:t xml:space="preserve"> zboží bude vybavena dodacím listem, který bude potvrzen oběma Smluvními stranami při předání a převzetí zboží a bude sloužit jako protokol o předání zboží. Na dodacím listu musí být uvedeny:</w:t>
      </w:r>
    </w:p>
    <w:p w14:paraId="4AFFB96E" w14:textId="77777777" w:rsidR="00745699" w:rsidRPr="00370DA2" w:rsidRDefault="00745699" w:rsidP="00745699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70DA2">
        <w:rPr>
          <w:rFonts w:cstheme="minorHAnsi"/>
        </w:rPr>
        <w:t>identifikační údaje Dodavatele a Objednatele,</w:t>
      </w:r>
    </w:p>
    <w:p w14:paraId="4F79876D" w14:textId="77777777" w:rsidR="00745699" w:rsidRPr="00370DA2" w:rsidRDefault="00745699" w:rsidP="00745699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70DA2">
        <w:rPr>
          <w:rFonts w:cstheme="minorHAnsi"/>
        </w:rPr>
        <w:t>číslo dodacího listu a datum vystavení,</w:t>
      </w:r>
    </w:p>
    <w:p w14:paraId="044D51F8" w14:textId="77777777" w:rsidR="00745699" w:rsidRPr="00370DA2" w:rsidRDefault="00745699" w:rsidP="00745699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70DA2">
        <w:rPr>
          <w:rFonts w:cstheme="minorHAnsi"/>
        </w:rPr>
        <w:t>číslo objednávky,</w:t>
      </w:r>
    </w:p>
    <w:p w14:paraId="5D2C3E00" w14:textId="77777777" w:rsidR="00745699" w:rsidRPr="00370DA2" w:rsidRDefault="00745699" w:rsidP="00745699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70DA2">
        <w:rPr>
          <w:rFonts w:cstheme="minorHAnsi"/>
        </w:rPr>
        <w:t>počet dodávaných kusů a měrná jednotka,</w:t>
      </w:r>
    </w:p>
    <w:p w14:paraId="05535F52" w14:textId="77777777" w:rsidR="00745699" w:rsidRPr="00370DA2" w:rsidRDefault="00745699" w:rsidP="00745699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</w:rPr>
      </w:pPr>
      <w:r w:rsidRPr="00370DA2">
        <w:rPr>
          <w:rFonts w:cstheme="minorHAnsi"/>
        </w:rPr>
        <w:t>název položky pro jednoznačnou identifikaci.</w:t>
      </w:r>
    </w:p>
    <w:p w14:paraId="49EF513A" w14:textId="77777777" w:rsidR="00F520E9" w:rsidRDefault="00745699" w:rsidP="00F520E9">
      <w:pPr>
        <w:pStyle w:val="Odstavecseseznamem"/>
        <w:numPr>
          <w:ilvl w:val="0"/>
          <w:numId w:val="3"/>
        </w:numPr>
        <w:spacing w:before="240" w:after="120"/>
        <w:ind w:left="425" w:hanging="425"/>
        <w:contextualSpacing w:val="0"/>
        <w:jc w:val="both"/>
        <w:rPr>
          <w:rFonts w:cstheme="minorHAnsi"/>
        </w:rPr>
      </w:pPr>
      <w:r w:rsidRPr="00F520E9">
        <w:rPr>
          <w:rFonts w:cstheme="minorHAnsi"/>
        </w:rPr>
        <w:t>Místem dodání zboží j</w:t>
      </w:r>
      <w:r w:rsidR="00F520E9" w:rsidRPr="00F520E9">
        <w:rPr>
          <w:rFonts w:cstheme="minorHAnsi"/>
        </w:rPr>
        <w:t>e</w:t>
      </w:r>
      <w:r w:rsidR="00F520E9">
        <w:rPr>
          <w:rFonts w:cstheme="minorHAnsi"/>
        </w:rPr>
        <w:t xml:space="preserve"> budova školy na adrese</w:t>
      </w:r>
      <w:r w:rsidR="00F520E9" w:rsidRPr="00F520E9">
        <w:rPr>
          <w:rFonts w:cstheme="minorHAnsi"/>
        </w:rPr>
        <w:t xml:space="preserve"> Školní 2400/4, 251 01 Říčany</w:t>
      </w:r>
      <w:r w:rsidRPr="00F520E9">
        <w:rPr>
          <w:rFonts w:cstheme="minorHAnsi"/>
        </w:rPr>
        <w:t>.</w:t>
      </w:r>
    </w:p>
    <w:p w14:paraId="360F3FFA" w14:textId="7D0C01A6" w:rsidR="00745699" w:rsidRPr="00370DA2" w:rsidRDefault="00745699" w:rsidP="00F520E9">
      <w:pPr>
        <w:pStyle w:val="Odstavecseseznamem"/>
        <w:numPr>
          <w:ilvl w:val="0"/>
          <w:numId w:val="3"/>
        </w:numPr>
        <w:spacing w:before="240" w:after="120"/>
        <w:ind w:left="425" w:hanging="425"/>
        <w:contextualSpacing w:val="0"/>
        <w:jc w:val="both"/>
        <w:rPr>
          <w:rFonts w:cstheme="minorHAnsi"/>
        </w:rPr>
      </w:pPr>
      <w:r w:rsidRPr="00F520E9">
        <w:rPr>
          <w:rFonts w:cstheme="minorHAnsi"/>
        </w:rPr>
        <w:t>Přepravu zboží do místa dodání zabezpečuje Dodavatel na vlastní náklady a na vlastní nebezpečí.</w:t>
      </w:r>
      <w:r w:rsidRPr="00F520E9">
        <w:rPr>
          <w:rFonts w:eastAsia="Times New Roman" w:cstheme="minorHAnsi"/>
        </w:rPr>
        <w:t xml:space="preserve"> </w:t>
      </w:r>
    </w:p>
    <w:p w14:paraId="15D87D7B" w14:textId="170616B9" w:rsidR="00745699" w:rsidRPr="00717BB0" w:rsidRDefault="00745699" w:rsidP="00717BB0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cstheme="minorHAnsi"/>
          <w:b/>
        </w:rPr>
      </w:pPr>
      <w:r w:rsidRPr="00370DA2">
        <w:rPr>
          <w:rFonts w:cstheme="minorHAnsi"/>
        </w:rPr>
        <w:t>Dodavatel se zavazuje, že veškeré zboží, které je předmětem plnění na základě této Smlouvy, resp. dílčích smluv, opatří pro přepravu způsobem, který je obvyklý pro tento druh zboží v obchodním styku.</w:t>
      </w:r>
    </w:p>
    <w:p w14:paraId="2D528BE9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lastRenderedPageBreak/>
        <w:t>IV.</w:t>
      </w:r>
    </w:p>
    <w:p w14:paraId="52CE3446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CENA ZA PLNĚNÍ</w:t>
      </w:r>
    </w:p>
    <w:p w14:paraId="4BB837F9" w14:textId="3473D0D0" w:rsidR="00745699" w:rsidRPr="00370DA2" w:rsidRDefault="00745699" w:rsidP="00745699">
      <w:pPr>
        <w:pStyle w:val="Odstavecseseznamem"/>
        <w:numPr>
          <w:ilvl w:val="0"/>
          <w:numId w:val="6"/>
        </w:numPr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Dodavatel se zavazuje </w:t>
      </w:r>
      <w:r w:rsidR="00F520E9">
        <w:rPr>
          <w:rFonts w:cstheme="minorHAnsi"/>
        </w:rPr>
        <w:t>poskytnou dodávku</w:t>
      </w:r>
      <w:r w:rsidR="00717BB0">
        <w:rPr>
          <w:rFonts w:cstheme="minorHAnsi"/>
        </w:rPr>
        <w:t xml:space="preserve"> a montáž</w:t>
      </w:r>
      <w:r w:rsidRPr="00370DA2">
        <w:rPr>
          <w:rFonts w:cstheme="minorHAnsi"/>
        </w:rPr>
        <w:t xml:space="preserve"> zboží Objednateli za</w:t>
      </w:r>
      <w:r w:rsidR="009662DD">
        <w:rPr>
          <w:rFonts w:cstheme="minorHAnsi"/>
        </w:rPr>
        <w:t xml:space="preserve"> celkovou</w:t>
      </w:r>
      <w:r w:rsidRPr="00370DA2">
        <w:rPr>
          <w:rFonts w:cstheme="minorHAnsi"/>
        </w:rPr>
        <w:t xml:space="preserve"> </w:t>
      </w:r>
      <w:r w:rsidRPr="009662DD">
        <w:rPr>
          <w:rFonts w:cstheme="minorHAnsi"/>
          <w:highlight w:val="yellow"/>
        </w:rPr>
        <w:t>cen</w:t>
      </w:r>
      <w:r w:rsidR="00F520E9" w:rsidRPr="009662DD">
        <w:rPr>
          <w:rFonts w:cstheme="minorHAnsi"/>
          <w:highlight w:val="yellow"/>
        </w:rPr>
        <w:t>u</w:t>
      </w:r>
      <w:r w:rsidR="009662DD" w:rsidRPr="009662DD">
        <w:rPr>
          <w:rFonts w:cstheme="minorHAnsi"/>
          <w:highlight w:val="yellow"/>
        </w:rPr>
        <w:t xml:space="preserve"> </w:t>
      </w:r>
      <w:r w:rsidRPr="009662DD">
        <w:rPr>
          <w:rFonts w:cstheme="minorHAnsi"/>
          <w:highlight w:val="yellow"/>
        </w:rPr>
        <w:t xml:space="preserve"> </w:t>
      </w:r>
      <w:r w:rsidR="009662DD" w:rsidRPr="009662DD">
        <w:rPr>
          <w:rFonts w:cstheme="minorHAnsi"/>
          <w:highlight w:val="yellow"/>
        </w:rPr>
        <w:t xml:space="preserve">                       Kč včetně DPH,</w:t>
      </w:r>
      <w:r w:rsidR="009662DD">
        <w:rPr>
          <w:rFonts w:cstheme="minorHAnsi"/>
        </w:rPr>
        <w:t xml:space="preserve"> ceny za jednotlivé položky dodávaného „zboží“ jsou </w:t>
      </w:r>
      <w:r w:rsidRPr="00370DA2">
        <w:rPr>
          <w:rFonts w:cstheme="minorHAnsi"/>
        </w:rPr>
        <w:t>uveden</w:t>
      </w:r>
      <w:r w:rsidR="009662DD">
        <w:rPr>
          <w:rFonts w:cstheme="minorHAnsi"/>
        </w:rPr>
        <w:t>y</w:t>
      </w:r>
      <w:r w:rsidRPr="00370DA2">
        <w:rPr>
          <w:rFonts w:cstheme="minorHAnsi"/>
        </w:rPr>
        <w:t xml:space="preserve"> v příloze č. 1 této Smlouvy (dále jen „</w:t>
      </w:r>
      <w:r w:rsidRPr="00370DA2">
        <w:rPr>
          <w:rFonts w:cstheme="minorHAnsi"/>
          <w:b/>
        </w:rPr>
        <w:t>kupní cena</w:t>
      </w:r>
      <w:r w:rsidRPr="00370DA2">
        <w:rPr>
          <w:rFonts w:cstheme="minorHAnsi"/>
        </w:rPr>
        <w:t xml:space="preserve">“). </w:t>
      </w:r>
    </w:p>
    <w:p w14:paraId="75481D6D" w14:textId="2E593C13" w:rsidR="00745699" w:rsidRPr="00370DA2" w:rsidRDefault="00745699" w:rsidP="00745699">
      <w:pPr>
        <w:pStyle w:val="Odstavecseseznamem"/>
        <w:numPr>
          <w:ilvl w:val="0"/>
          <w:numId w:val="6"/>
        </w:numPr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Kupní cena za jednotlivé zboží zahrnuje rovněž veškeré související náklady Dodavatele, zejména náklady na balné a dopravu zboží do místa plnění</w:t>
      </w:r>
      <w:r w:rsidR="00F520E9">
        <w:rPr>
          <w:rFonts w:cstheme="minorHAnsi"/>
        </w:rPr>
        <w:t>.</w:t>
      </w:r>
      <w:r w:rsidRPr="00370DA2">
        <w:rPr>
          <w:rFonts w:cstheme="minorHAnsi"/>
        </w:rPr>
        <w:t xml:space="preserve"> Tato kupní cena je cenou konečnou, nejvýše přípustnou a nemůže být zvýšena bez předchozího písemného souhlasu Objednatele.</w:t>
      </w:r>
    </w:p>
    <w:p w14:paraId="711350A9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V.</w:t>
      </w:r>
    </w:p>
    <w:p w14:paraId="0D0A69E5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PLATEBNÍ PODMÍNKY</w:t>
      </w:r>
    </w:p>
    <w:p w14:paraId="638D2B77" w14:textId="77777777" w:rsidR="00745699" w:rsidRPr="00370DA2" w:rsidRDefault="00745699" w:rsidP="00745699">
      <w:pPr>
        <w:pStyle w:val="Odstavecseseznamem"/>
        <w:numPr>
          <w:ilvl w:val="0"/>
          <w:numId w:val="7"/>
        </w:numPr>
        <w:spacing w:after="120"/>
        <w:rPr>
          <w:rFonts w:cstheme="minorHAnsi"/>
        </w:rPr>
      </w:pPr>
      <w:r w:rsidRPr="00370DA2">
        <w:rPr>
          <w:rFonts w:cstheme="minorHAnsi"/>
        </w:rPr>
        <w:t>Objednatel nebude poskytovat Dodavateli jakékoli zálohy na kupní cenu.</w:t>
      </w:r>
    </w:p>
    <w:p w14:paraId="39C953B1" w14:textId="4B1B6DEC" w:rsidR="00745699" w:rsidRPr="00370DA2" w:rsidRDefault="00745699" w:rsidP="0074569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Právo vystavit daňový doklad (fakturu) za dodávku zboží vzniká Dodavateli v den uskutečnění dodávky, tj. dnem podpisu dodacího listu oprávněnou osobou Objednatele.  Datem uskutečnění zdanitelného plnění je den protokolárního předání a převzetí zboží, tj. den, kdy Objednatel podepsal dodací list.</w:t>
      </w:r>
    </w:p>
    <w:p w14:paraId="7B9C7082" w14:textId="77777777" w:rsidR="00745699" w:rsidRPr="00370DA2" w:rsidRDefault="00745699" w:rsidP="0074569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Faktura musí obsahovat všechny náležitosti řádného daňového dokladu dle příslušných právních předpisů a této Smlouvy. Součástí faktury je kopie potvrzeného dodacího listu uskutečněné dodávky.</w:t>
      </w:r>
    </w:p>
    <w:p w14:paraId="3B9528CF" w14:textId="77777777" w:rsidR="00745699" w:rsidRPr="00370DA2" w:rsidRDefault="00745699" w:rsidP="0074569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Faktura musí obsahovat kromě náležitostí daňového a účetního dokladu, také zejména:</w:t>
      </w:r>
    </w:p>
    <w:p w14:paraId="644B5128" w14:textId="77777777" w:rsidR="00745699" w:rsidRPr="00370DA2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číslo příslušné objednávky,</w:t>
      </w:r>
    </w:p>
    <w:p w14:paraId="38756212" w14:textId="77777777" w:rsidR="00745699" w:rsidRPr="00370DA2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číslo příslušného dodacího listu,</w:t>
      </w:r>
    </w:p>
    <w:p w14:paraId="1F22CC1E" w14:textId="77777777" w:rsidR="00745699" w:rsidRPr="00370DA2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počet fakturovaných kusů a měrná jednotka,</w:t>
      </w:r>
    </w:p>
    <w:p w14:paraId="14FD6096" w14:textId="77777777" w:rsidR="00745699" w:rsidRPr="00370DA2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jednotková cena,</w:t>
      </w:r>
    </w:p>
    <w:p w14:paraId="576F0B1F" w14:textId="77777777" w:rsidR="00745699" w:rsidRPr="00370DA2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celkem cena za položku,</w:t>
      </w:r>
    </w:p>
    <w:p w14:paraId="5A0A79AE" w14:textId="77777777" w:rsidR="00745699" w:rsidRPr="00370DA2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celkem cena za fakturu,</w:t>
      </w:r>
    </w:p>
    <w:p w14:paraId="5EEAE4BF" w14:textId="77777777" w:rsidR="00745699" w:rsidRDefault="00745699" w:rsidP="00745699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název položky pro jednoznačnou identifikaci,</w:t>
      </w:r>
    </w:p>
    <w:p w14:paraId="745659BC" w14:textId="77777777" w:rsidR="00745699" w:rsidRPr="00370DA2" w:rsidRDefault="00745699" w:rsidP="00745699">
      <w:pPr>
        <w:pStyle w:val="Odstavecseseznamem"/>
        <w:ind w:left="1428"/>
        <w:rPr>
          <w:rFonts w:cstheme="minorHAnsi"/>
          <w:color w:val="FF0000"/>
        </w:rPr>
      </w:pPr>
    </w:p>
    <w:p w14:paraId="14D0153B" w14:textId="73248C0B" w:rsidR="00745699" w:rsidRPr="00370DA2" w:rsidRDefault="00745699" w:rsidP="0074569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 xml:space="preserve">Faktura bude doručena zasláním na email: </w:t>
      </w:r>
      <w:r w:rsidR="00F563B3">
        <w:rPr>
          <w:rFonts w:cstheme="minorHAnsi"/>
          <w:color w:val="000000"/>
        </w:rPr>
        <w:t>katerina.hendrychova</w:t>
      </w:r>
      <w:r w:rsidRPr="00370DA2">
        <w:rPr>
          <w:rFonts w:cstheme="minorHAnsi"/>
          <w:color w:val="000000"/>
        </w:rPr>
        <w:t>@</w:t>
      </w:r>
      <w:r w:rsidR="00F520E9">
        <w:rPr>
          <w:rFonts w:cstheme="minorHAnsi"/>
          <w:color w:val="000000"/>
        </w:rPr>
        <w:t>zs.</w:t>
      </w:r>
      <w:r w:rsidRPr="00370DA2">
        <w:rPr>
          <w:rFonts w:cstheme="minorHAnsi"/>
          <w:color w:val="000000"/>
        </w:rPr>
        <w:t xml:space="preserve">ricany.cz a na </w:t>
      </w:r>
      <w:r w:rsidR="00F520E9">
        <w:rPr>
          <w:rFonts w:cstheme="minorHAnsi"/>
          <w:color w:val="000000"/>
        </w:rPr>
        <w:t>monika.zilkova@ricany</w:t>
      </w:r>
      <w:r w:rsidRPr="00370DA2">
        <w:rPr>
          <w:rFonts w:cstheme="minorHAnsi"/>
          <w:color w:val="000000"/>
        </w:rPr>
        <w:t>.</w:t>
      </w:r>
      <w:r w:rsidR="00F520E9">
        <w:rPr>
          <w:rFonts w:cstheme="minorHAnsi"/>
          <w:color w:val="000000"/>
        </w:rPr>
        <w:t>cz</w:t>
      </w:r>
      <w:r>
        <w:rPr>
          <w:rFonts w:cstheme="minorHAnsi"/>
          <w:color w:val="000000"/>
        </w:rPr>
        <w:t xml:space="preserve"> </w:t>
      </w:r>
    </w:p>
    <w:p w14:paraId="0DCB3F78" w14:textId="77777777" w:rsidR="00745699" w:rsidRPr="00370DA2" w:rsidRDefault="00745699" w:rsidP="0074569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 xml:space="preserve">Splatnost faktury řádně vystavené Dodavatelem je 14(slovy: čtrnáct) kalendářních dnů ode dne jejího doručení Objednateli, spolu se všemi požadovanými dokumenty. Faktura musí být doručena na adresu sídla Objednatele spolu s oběma Smluvními stranami potvrzeným dodacím listem. Zaplacením se pro účely této Smlouvy rozumí den odepsání příslušné částky z účtu Objednatele. </w:t>
      </w:r>
    </w:p>
    <w:p w14:paraId="494E9990" w14:textId="77777777" w:rsidR="00745699" w:rsidRPr="00370DA2" w:rsidRDefault="00745699" w:rsidP="0074569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70DA2">
        <w:rPr>
          <w:rFonts w:cstheme="minorHAnsi"/>
        </w:rPr>
        <w:t>V případě, že jakákoli faktura vystavená Dodavatelem nebude obsahovat potřebné náležitosti nebo bude obsahovat nesprávné či neúplné údaje, je Objednatel oprávněn fakturu vrátit Dodavateli s uvedením důvodu vrácení, aniž se dostane do prodlení s placením. Nová lhůta splatnosti počíná běžet ode dne doručení řádně opravené či doplněné faktury Objednateli.</w:t>
      </w:r>
    </w:p>
    <w:p w14:paraId="67660147" w14:textId="77777777" w:rsidR="00745699" w:rsidRDefault="00745699" w:rsidP="00745699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70DA2">
        <w:rPr>
          <w:rFonts w:cstheme="minorHAnsi"/>
        </w:rPr>
        <w:t>V případě, že Objednatel fakturu vrátí, přestože byla vystavena řádně a obsahuje předepsané náležitosti, lhůta splatnosti se nepřerušuje a pokud Objednatel fakturu nezaplatí v původní lhůtě splatnosti, je v prodlení.</w:t>
      </w:r>
    </w:p>
    <w:p w14:paraId="0F25E854" w14:textId="77777777" w:rsidR="00717BB0" w:rsidRPr="00370DA2" w:rsidRDefault="00717BB0" w:rsidP="00717BB0">
      <w:pPr>
        <w:pStyle w:val="Odstavecseseznamem"/>
        <w:spacing w:after="120"/>
        <w:ind w:left="360"/>
        <w:jc w:val="both"/>
        <w:rPr>
          <w:rFonts w:cstheme="minorHAnsi"/>
        </w:rPr>
      </w:pPr>
    </w:p>
    <w:p w14:paraId="4F4BE413" w14:textId="77777777" w:rsidR="00745699" w:rsidRPr="00370DA2" w:rsidRDefault="00745699" w:rsidP="00745699">
      <w:pPr>
        <w:pStyle w:val="Odstavecseseznamem"/>
        <w:spacing w:after="120"/>
        <w:ind w:left="360"/>
        <w:jc w:val="both"/>
        <w:rPr>
          <w:rFonts w:cstheme="minorHAnsi"/>
        </w:rPr>
      </w:pPr>
    </w:p>
    <w:p w14:paraId="2D797A3B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lastRenderedPageBreak/>
        <w:t>VI.</w:t>
      </w:r>
    </w:p>
    <w:p w14:paraId="2852EE4B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ZÁRUČNÍ PODMÍNKY, ODPOVĚDNOST ZA VADY</w:t>
      </w:r>
    </w:p>
    <w:p w14:paraId="108C8A51" w14:textId="77777777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Zboží musí být prosto všech faktických a právních vad. Zboží má vady, jestliže nebylo dodáno v souladu s touto Smlouvou.</w:t>
      </w:r>
    </w:p>
    <w:p w14:paraId="7AA2FB72" w14:textId="7741C9AF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Dodavatel poskytuje Objednateli záruku za jakost zboží na dobu </w:t>
      </w:r>
      <w:r w:rsidR="0054233B">
        <w:rPr>
          <w:rFonts w:cstheme="minorHAnsi"/>
        </w:rPr>
        <w:t>60</w:t>
      </w:r>
      <w:r w:rsidRPr="00370DA2">
        <w:rPr>
          <w:rFonts w:cstheme="minorHAnsi"/>
        </w:rPr>
        <w:t xml:space="preserve"> (slovy: </w:t>
      </w:r>
      <w:r w:rsidR="0054233B">
        <w:rPr>
          <w:rFonts w:cstheme="minorHAnsi"/>
        </w:rPr>
        <w:t>šedesát</w:t>
      </w:r>
      <w:r w:rsidRPr="00370DA2">
        <w:rPr>
          <w:rFonts w:cstheme="minorHAnsi"/>
        </w:rPr>
        <w:t xml:space="preserve"> měsíců ode dne převzetí zboží bez jakýchkoliv vad (dále jen „</w:t>
      </w:r>
      <w:r w:rsidRPr="00370DA2">
        <w:rPr>
          <w:rFonts w:cstheme="minorHAnsi"/>
          <w:b/>
        </w:rPr>
        <w:t>záruční doba</w:t>
      </w:r>
      <w:r w:rsidRPr="00370DA2">
        <w:rPr>
          <w:rFonts w:cstheme="minorHAnsi"/>
        </w:rPr>
        <w:t xml:space="preserve">“). </w:t>
      </w:r>
    </w:p>
    <w:p w14:paraId="59954331" w14:textId="77777777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Zárukou za jakost zboží přejímá Dodavatel závazek, že dodané zboží nebude mít vady, tedy po celou záruční dobu bude způsobilé pro použití pro obvyklý účel, a že si zachová obvyklé vlastnosti a nebude mít vady. Dodavatel odpovídá za jakoukoliv vadu, jež vznikne v době trvání záruky.</w:t>
      </w:r>
    </w:p>
    <w:p w14:paraId="4E3F9587" w14:textId="77777777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Objednatel je povinen oznámit každou vadu Dodavateli nejpozději do 30 (slovy: třiceti) kalendářních dnů od jejího zjištění. Záruční doba neběží po dobu, po kterou Objednatel nemůže užívat zboží pro jeho vady, za které odpovídá Dodavatel. Vada je uplatněna včas, je-li oznámení o této vadě odesláno Dodavateli nejpozději v poslední den záruční doby. Připadne-li konec záruční doby na sobotu, neděli nebo svátek, je vada včas uplatněna, je-li oznámení o vadě odesláno Dodavateli nejblíže následující pracovní den.</w:t>
      </w:r>
    </w:p>
    <w:p w14:paraId="78583701" w14:textId="77777777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V případě nepodstatného porušení této smlouvy má Objednatel právo:</w:t>
      </w:r>
    </w:p>
    <w:p w14:paraId="6B430ED5" w14:textId="77777777" w:rsidR="00745699" w:rsidRPr="00370DA2" w:rsidRDefault="00745699" w:rsidP="00745699">
      <w:pPr>
        <w:pStyle w:val="Odstavecseseznamem"/>
        <w:numPr>
          <w:ilvl w:val="1"/>
          <w:numId w:val="8"/>
        </w:numPr>
        <w:spacing w:after="120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požadovat odstranění vad dodáním náhradního (nového či chybějícího) zboží za zboží vadné, nebo</w:t>
      </w:r>
    </w:p>
    <w:p w14:paraId="069CE9C2" w14:textId="77777777" w:rsidR="00745699" w:rsidRPr="00370DA2" w:rsidRDefault="00745699" w:rsidP="00745699">
      <w:pPr>
        <w:pStyle w:val="Odstavecseseznamem"/>
        <w:numPr>
          <w:ilvl w:val="1"/>
          <w:numId w:val="8"/>
        </w:numPr>
        <w:spacing w:after="120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požadovat přiměřenou slevu z kupní ceny.</w:t>
      </w:r>
    </w:p>
    <w:p w14:paraId="4CC06C00" w14:textId="6A4AC0FF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Dodavatel je povinen odstranit vady dodáním náhradního (nového či chybějícího) zboží ve lhůtě </w:t>
      </w:r>
      <w:r w:rsidR="00F02BAB">
        <w:rPr>
          <w:rFonts w:cstheme="minorHAnsi"/>
        </w:rPr>
        <w:t>2</w:t>
      </w:r>
      <w:r w:rsidRPr="00370DA2">
        <w:rPr>
          <w:rFonts w:cstheme="minorHAnsi"/>
        </w:rPr>
        <w:t>0 (slovy: deseti) pracovních dnů od uplatnění tohoto nároku. Nedodá-li Dodavatel náhradní zboží za zboží vadné v této lhůtě nebo oznámí-li Dodavatel před uplynutím této lhůty Objednateli, že náhradní zboží nedodá, je Objednatel oprávněn odstoupit od dílčí objednávky nebo požadovat přiměřenou slevu z kupní ceny.</w:t>
      </w:r>
    </w:p>
    <w:p w14:paraId="0CFC2281" w14:textId="77777777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Objednatel není do doby odstranění všech vad zboží povinen uhradit Dodavateli cenu vadného zboží, která ještě nebyla Dodavateli uhrazena.</w:t>
      </w:r>
    </w:p>
    <w:p w14:paraId="3FC474EC" w14:textId="77777777" w:rsidR="00745699" w:rsidRPr="00370DA2" w:rsidRDefault="00745699" w:rsidP="00745699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70DA2">
        <w:rPr>
          <w:rFonts w:cstheme="minorHAnsi"/>
        </w:rPr>
        <w:t>Záruka se nevztahuje na odstranění vad a poškození, které zavinil kupující nesprávnou obsluhou a údržbou zboží.</w:t>
      </w:r>
    </w:p>
    <w:p w14:paraId="6EC65534" w14:textId="77777777" w:rsidR="00745699" w:rsidRPr="00370DA2" w:rsidRDefault="00745699" w:rsidP="00745699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Veškeré činnosti nutné či související s reklamací vad činí Dodavatel sám na své náklady v součinnosti s Objednatelem v jeho pracovní době tak, aby svými činnostmi neohrozil nebo neomezil činnost Objednatele.</w:t>
      </w:r>
    </w:p>
    <w:p w14:paraId="49BF9311" w14:textId="77777777" w:rsidR="00745699" w:rsidRPr="00370DA2" w:rsidRDefault="00745699" w:rsidP="00745699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70DA2">
        <w:rPr>
          <w:rFonts w:cstheme="minorHAnsi"/>
        </w:rPr>
        <w:t>Dodavatel se zavazuje poskytovat servisní práce za účelem odstranění vad a poškození předmětného zboží, na které se nevztahuje poskytnutá záruka.</w:t>
      </w:r>
    </w:p>
    <w:p w14:paraId="5579D1A9" w14:textId="5838F7F0" w:rsidR="00745699" w:rsidRPr="00370DA2" w:rsidRDefault="00745699" w:rsidP="00745699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70DA2">
        <w:rPr>
          <w:rFonts w:cstheme="minorHAnsi"/>
        </w:rPr>
        <w:t xml:space="preserve">Dodavatelem účtovaná cena náhradních dílů použitých při odstranění vad a poškození zboží, na které se nevztahuje poskytnutá záruka, nemůže být </w:t>
      </w:r>
      <w:proofErr w:type="gramStart"/>
      <w:r w:rsidR="00F563B3" w:rsidRPr="00370DA2">
        <w:rPr>
          <w:rFonts w:cstheme="minorHAnsi"/>
        </w:rPr>
        <w:t>vyšší,</w:t>
      </w:r>
      <w:proofErr w:type="gramEnd"/>
      <w:r w:rsidRPr="00370DA2">
        <w:rPr>
          <w:rFonts w:cstheme="minorHAnsi"/>
        </w:rPr>
        <w:t xml:space="preserve"> než určuje doporučený ceník výrobce těchto náhradních dílů. Není přípustné použití alternativních náhradních dílů namísto originálních náhradních dílů bez předchozího souhlasu kupujícího.</w:t>
      </w:r>
    </w:p>
    <w:p w14:paraId="1DDC1E3D" w14:textId="544E773F" w:rsidR="00745699" w:rsidRPr="00F563B3" w:rsidRDefault="00745699" w:rsidP="00F563B3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70DA2">
        <w:rPr>
          <w:rFonts w:cstheme="minorHAnsi"/>
        </w:rPr>
        <w:t>Dodavatel může provedením servisních prací a služeb s nimi spojených pověřit jinou osobu. Při provádění těchto činností jinou osobou má prodávající odpovědnost, jako by je prováděl sám.</w:t>
      </w:r>
    </w:p>
    <w:p w14:paraId="2080C941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lastRenderedPageBreak/>
        <w:t>VII.</w:t>
      </w:r>
    </w:p>
    <w:p w14:paraId="07B573D8" w14:textId="77777777" w:rsidR="00745699" w:rsidRPr="00370DA2" w:rsidRDefault="00745699" w:rsidP="00745699">
      <w:pPr>
        <w:spacing w:after="120"/>
        <w:jc w:val="center"/>
        <w:rPr>
          <w:rFonts w:cstheme="minorHAnsi"/>
          <w:b/>
          <w:caps/>
        </w:rPr>
      </w:pPr>
      <w:r w:rsidRPr="00370DA2">
        <w:rPr>
          <w:rFonts w:cstheme="minorHAnsi"/>
          <w:b/>
          <w:caps/>
        </w:rPr>
        <w:t>PŘECHOD VLASTNICTVÍ a nebezpečí škody na zboží</w:t>
      </w:r>
    </w:p>
    <w:p w14:paraId="7D65D736" w14:textId="7A8DB631" w:rsidR="00745699" w:rsidRPr="00F563B3" w:rsidRDefault="00745699" w:rsidP="00F563B3">
      <w:pPr>
        <w:pStyle w:val="Odstavecseseznamem"/>
        <w:ind w:left="426"/>
        <w:jc w:val="both"/>
        <w:rPr>
          <w:rFonts w:cstheme="minorHAnsi"/>
        </w:rPr>
      </w:pPr>
      <w:r w:rsidRPr="00370DA2">
        <w:rPr>
          <w:rFonts w:cstheme="minorHAnsi"/>
        </w:rPr>
        <w:t xml:space="preserve">Vlastnické právo ke zboží dodanému na základě této Smlouvy přechází na Objednatele okamžikem převzetí zboží, tj. okamžikem podpisu protokolu o předání zboží (dodacího listu) Objednatelem. Tímto okamžikem taktéž přechází na Objednatele nebezpečí škody na zboží. </w:t>
      </w:r>
    </w:p>
    <w:p w14:paraId="46FE1BF7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</w:p>
    <w:p w14:paraId="1D83BB8F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VIII.</w:t>
      </w:r>
    </w:p>
    <w:p w14:paraId="61BF14D8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SANKCE</w:t>
      </w:r>
    </w:p>
    <w:p w14:paraId="7A8F8FA3" w14:textId="7CA607AB" w:rsidR="00745699" w:rsidRPr="00370DA2" w:rsidRDefault="00745699" w:rsidP="00745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V případě prodlení Dodavatele </w:t>
      </w:r>
      <w:r w:rsidR="00F02BAB" w:rsidRPr="00370DA2">
        <w:rPr>
          <w:rFonts w:cstheme="minorHAnsi"/>
        </w:rPr>
        <w:t>s dodávkou</w:t>
      </w:r>
      <w:r w:rsidRPr="00370DA2">
        <w:rPr>
          <w:rFonts w:cstheme="minorHAnsi"/>
        </w:rPr>
        <w:t xml:space="preserve"> zboží v termínu dle dílčí smlouvy je Dodavatel povinen uhradit Objednateli smluvní pokutu ve výši </w:t>
      </w:r>
      <w:r w:rsidR="00717BB0">
        <w:rPr>
          <w:rFonts w:cstheme="minorHAnsi"/>
        </w:rPr>
        <w:t>0,1</w:t>
      </w:r>
      <w:r w:rsidRPr="00370DA2">
        <w:rPr>
          <w:rFonts w:cstheme="minorHAnsi"/>
        </w:rPr>
        <w:t xml:space="preserve"> % </w:t>
      </w:r>
      <w:r w:rsidR="00F02BAB" w:rsidRPr="00370DA2">
        <w:rPr>
          <w:rFonts w:cstheme="minorHAnsi"/>
        </w:rPr>
        <w:t>z kupní</w:t>
      </w:r>
      <w:r w:rsidRPr="00370DA2">
        <w:rPr>
          <w:rFonts w:cstheme="minorHAnsi"/>
        </w:rPr>
        <w:t xml:space="preserve"> ceny zboží nebo jeho části bez DPH, s jehož řádným dodáním je Dodavatel v</w:t>
      </w:r>
      <w:r w:rsidR="00717BB0">
        <w:rPr>
          <w:rFonts w:cstheme="minorHAnsi"/>
        </w:rPr>
        <w:t> </w:t>
      </w:r>
      <w:r w:rsidRPr="00370DA2">
        <w:rPr>
          <w:rFonts w:cstheme="minorHAnsi"/>
        </w:rPr>
        <w:t>prodlení</w:t>
      </w:r>
      <w:r w:rsidR="00717BB0">
        <w:rPr>
          <w:rFonts w:cstheme="minorHAnsi"/>
        </w:rPr>
        <w:t xml:space="preserve"> </w:t>
      </w:r>
      <w:r w:rsidR="00717BB0">
        <w:t>za každý, i započatý den</w:t>
      </w:r>
      <w:r w:rsidRPr="00370DA2">
        <w:rPr>
          <w:rFonts w:cstheme="minorHAnsi"/>
        </w:rPr>
        <w:t xml:space="preserve">. </w:t>
      </w:r>
    </w:p>
    <w:p w14:paraId="70865301" w14:textId="39E5D0DF" w:rsidR="00745699" w:rsidRPr="00370DA2" w:rsidRDefault="00745699" w:rsidP="00745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V případě prodlení Dodavatele s odstraněním vad zboží je Objednatel oprávněn požadovat smluvní pokutu ve výši 0,1</w:t>
      </w:r>
      <w:r w:rsidR="00F02BAB">
        <w:rPr>
          <w:rFonts w:cstheme="minorHAnsi"/>
        </w:rPr>
        <w:t xml:space="preserve"> </w:t>
      </w:r>
      <w:r w:rsidRPr="00370DA2">
        <w:rPr>
          <w:rFonts w:cstheme="minorHAnsi"/>
        </w:rPr>
        <w:t>% z kupní ceny bez DPH za každý započatý den prodlení.</w:t>
      </w:r>
    </w:p>
    <w:p w14:paraId="6C2B31B1" w14:textId="77777777" w:rsidR="00745699" w:rsidRPr="00370DA2" w:rsidRDefault="00745699" w:rsidP="00745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Zaplacení smluvní pokuty nezbavuje Dodavatele povinnosti splnit závazky přijaté touto Smlouvou a příslušnou dílčí objednávkou.</w:t>
      </w:r>
    </w:p>
    <w:p w14:paraId="501E3588" w14:textId="77777777" w:rsidR="00745699" w:rsidRPr="00370DA2" w:rsidRDefault="00745699" w:rsidP="00745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Uplatněním smluvní pokuty (úroku z prodlení) není nijak dotčeno právo na náhradu vzniklé újmy v celém jejím rozsahu.</w:t>
      </w:r>
    </w:p>
    <w:p w14:paraId="31F88157" w14:textId="77777777" w:rsidR="00745699" w:rsidRPr="00370DA2" w:rsidRDefault="00745699" w:rsidP="00745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Smluvní pokuta (úrok z prodlení) je splatná ve lhůtě 30 (slovy: třiceti) kalendářních dní ode dne doručení vyúčtování smluvní pokuty (úroku z prodlení) povinné straně.</w:t>
      </w:r>
    </w:p>
    <w:p w14:paraId="2586C5C4" w14:textId="77777777" w:rsidR="00745699" w:rsidRPr="00370DA2" w:rsidRDefault="00745699" w:rsidP="00745699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3E5DBDE7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IX.</w:t>
      </w:r>
    </w:p>
    <w:p w14:paraId="2D4B2E9F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TRVÁNÍ SMLOUVY</w:t>
      </w:r>
    </w:p>
    <w:p w14:paraId="38484C39" w14:textId="77777777" w:rsidR="00745699" w:rsidRDefault="00745699" w:rsidP="00745699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Tato Smlouva nabývá platnosti dnem podpisu oprávněnými zástupci obou Smluvních stran a účinnosti dnem jeho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14:paraId="42E8B8AA" w14:textId="77777777" w:rsidR="00F02BAB" w:rsidRPr="00370DA2" w:rsidRDefault="00F02BAB" w:rsidP="00F02BAB">
      <w:pPr>
        <w:pStyle w:val="Odstavecseseznamem"/>
        <w:tabs>
          <w:tab w:val="left" w:pos="426"/>
        </w:tabs>
        <w:ind w:left="426"/>
        <w:contextualSpacing w:val="0"/>
        <w:jc w:val="both"/>
        <w:rPr>
          <w:rFonts w:cstheme="minorHAnsi"/>
        </w:rPr>
      </w:pPr>
    </w:p>
    <w:p w14:paraId="644864E6" w14:textId="77777777" w:rsidR="00745699" w:rsidRPr="00370DA2" w:rsidRDefault="00745699" w:rsidP="00745699">
      <w:pPr>
        <w:pStyle w:val="Odstavecseseznamem"/>
        <w:numPr>
          <w:ilvl w:val="0"/>
          <w:numId w:val="10"/>
        </w:numPr>
        <w:spacing w:after="6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Tato Smlouva zaniká</w:t>
      </w:r>
    </w:p>
    <w:p w14:paraId="4FBA1A4C" w14:textId="5BF0F9A5" w:rsidR="00745699" w:rsidRPr="00370DA2" w:rsidRDefault="00745699" w:rsidP="00745699">
      <w:pPr>
        <w:pStyle w:val="Odstavecseseznamem"/>
        <w:numPr>
          <w:ilvl w:val="0"/>
          <w:numId w:val="12"/>
        </w:numPr>
        <w:spacing w:after="60"/>
        <w:ind w:left="1134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písemnou dohodou </w:t>
      </w:r>
      <w:r w:rsidR="00F02BAB">
        <w:rPr>
          <w:rFonts w:cstheme="minorHAnsi"/>
        </w:rPr>
        <w:t xml:space="preserve">obou </w:t>
      </w:r>
      <w:r w:rsidRPr="00370DA2">
        <w:rPr>
          <w:rFonts w:cstheme="minorHAnsi"/>
        </w:rPr>
        <w:t>Smluvních stran;</w:t>
      </w:r>
    </w:p>
    <w:p w14:paraId="318FB7C4" w14:textId="77777777" w:rsidR="00745699" w:rsidRPr="00370DA2" w:rsidRDefault="00745699" w:rsidP="00745699">
      <w:pPr>
        <w:pStyle w:val="Odstavecseseznamem"/>
        <w:numPr>
          <w:ilvl w:val="0"/>
          <w:numId w:val="12"/>
        </w:numPr>
        <w:spacing w:after="60"/>
        <w:ind w:left="1134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odstoupením od Smlouvy za podmínek uvedených v této smlouvě v případě porušení smlouvy druhou Smluvní stranou podstatným způsobem;</w:t>
      </w:r>
    </w:p>
    <w:p w14:paraId="7189B217" w14:textId="77777777" w:rsidR="00745699" w:rsidRPr="00370DA2" w:rsidRDefault="00745699" w:rsidP="00745699">
      <w:pPr>
        <w:pStyle w:val="Odstavecseseznamem"/>
        <w:numPr>
          <w:ilvl w:val="0"/>
          <w:numId w:val="12"/>
        </w:numPr>
        <w:spacing w:after="60"/>
        <w:ind w:left="1134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výpovědí této Smlouvy jednou ze Smluvních stran bez udání důvodu s výpovědní lhůtou 3 měsíce.</w:t>
      </w:r>
    </w:p>
    <w:p w14:paraId="4A821F08" w14:textId="77777777" w:rsidR="00745699" w:rsidRPr="00370DA2" w:rsidRDefault="00745699" w:rsidP="00745699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Smluvní strany se dohodly, že ve smyslu § 2002 odst. 1 zákona č. 89/2012 Sb., občanský zákoník (dále také jen „</w:t>
      </w:r>
      <w:r w:rsidRPr="00370DA2">
        <w:rPr>
          <w:rFonts w:cstheme="minorHAnsi"/>
          <w:b/>
        </w:rPr>
        <w:t>občanský zákoník</w:t>
      </w:r>
      <w:r w:rsidRPr="00370DA2">
        <w:rPr>
          <w:rFonts w:cstheme="minorHAnsi"/>
        </w:rPr>
        <w:t>“) pokládají za podstatné porušení Smlouvy zejména tyto případy:</w:t>
      </w:r>
    </w:p>
    <w:p w14:paraId="35D7328B" w14:textId="77777777" w:rsidR="00745699" w:rsidRPr="00370DA2" w:rsidRDefault="00745699" w:rsidP="00745699">
      <w:pPr>
        <w:pStyle w:val="Odstavecseseznamem"/>
        <w:numPr>
          <w:ilvl w:val="0"/>
          <w:numId w:val="11"/>
        </w:numPr>
        <w:spacing w:after="60"/>
        <w:ind w:left="1134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nedodržení technické specifikace dodaného zboží dle přílohy č. 1 této Smlouvy,</w:t>
      </w:r>
    </w:p>
    <w:p w14:paraId="6A2CAB5C" w14:textId="5BF25D25" w:rsidR="00745699" w:rsidRPr="00370DA2" w:rsidRDefault="00745699" w:rsidP="00745699">
      <w:pPr>
        <w:pStyle w:val="Odstavecseseznamem"/>
        <w:numPr>
          <w:ilvl w:val="0"/>
          <w:numId w:val="11"/>
        </w:numPr>
        <w:spacing w:after="60"/>
        <w:ind w:left="1134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lastRenderedPageBreak/>
        <w:t>prodlení Objednatele s úhradou řádného daňového dokladu vystaveného na základě objednávky po dobu delší než 14 (slovy: čtrnáct)</w:t>
      </w:r>
      <w:r w:rsidR="00717BB0">
        <w:rPr>
          <w:rFonts w:cstheme="minorHAnsi"/>
        </w:rPr>
        <w:t xml:space="preserve"> </w:t>
      </w:r>
      <w:r w:rsidRPr="00370DA2">
        <w:rPr>
          <w:rFonts w:cstheme="minorHAnsi"/>
        </w:rPr>
        <w:t>kalendářních dnů, kdy Objednatel tuto fakturu neuhradí ani v dodatečné lhůtě v trvání nejméně 14 (slovy: patnáct) kalendářních dnů stanovené mu písemně Dodavatelem.</w:t>
      </w:r>
    </w:p>
    <w:p w14:paraId="4EB6DD16" w14:textId="77777777" w:rsidR="00745699" w:rsidRPr="00370DA2" w:rsidRDefault="00745699" w:rsidP="00745699">
      <w:pPr>
        <w:pStyle w:val="Odstavecseseznamem"/>
        <w:ind w:left="426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V ostatních případech a v pochybnostech se má za to, že porušení Smlouvy není podstatné.</w:t>
      </w:r>
    </w:p>
    <w:p w14:paraId="584C67B6" w14:textId="77777777" w:rsidR="00745699" w:rsidRPr="00370DA2" w:rsidRDefault="00745699" w:rsidP="00745699">
      <w:pPr>
        <w:pStyle w:val="Odstavecseseznamem"/>
        <w:numPr>
          <w:ilvl w:val="0"/>
          <w:numId w:val="10"/>
        </w:numPr>
        <w:spacing w:after="0"/>
        <w:ind w:left="426" w:hanging="437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Účinky odstoupení od Smlouvy nastávají dnem doručení písemného oznámení o odstoupení druhé Smluvní straně, právo na náhradu újmy, případně nárok na smluvní pokutu či úrok z prodlení strany odstupující nejsou odstoupením dotčeny.</w:t>
      </w:r>
    </w:p>
    <w:p w14:paraId="06339F57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</w:p>
    <w:p w14:paraId="05748781" w14:textId="77777777" w:rsidR="00745699" w:rsidRPr="00370DA2" w:rsidRDefault="00745699" w:rsidP="00745699">
      <w:pPr>
        <w:spacing w:after="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X.</w:t>
      </w:r>
    </w:p>
    <w:p w14:paraId="627F0A7F" w14:textId="77777777" w:rsidR="00745699" w:rsidRPr="00370DA2" w:rsidRDefault="00745699" w:rsidP="00745699">
      <w:pPr>
        <w:spacing w:after="120"/>
        <w:jc w:val="center"/>
        <w:rPr>
          <w:rFonts w:cstheme="minorHAnsi"/>
          <w:b/>
        </w:rPr>
      </w:pPr>
      <w:r w:rsidRPr="00370DA2">
        <w:rPr>
          <w:rFonts w:cstheme="minorHAnsi"/>
          <w:b/>
        </w:rPr>
        <w:t>ZÁVĚREČNÁ USTANOVENÍ</w:t>
      </w:r>
    </w:p>
    <w:p w14:paraId="3EC2918A" w14:textId="77777777" w:rsidR="00745699" w:rsidRPr="00370DA2" w:rsidRDefault="00745699" w:rsidP="00745699">
      <w:pPr>
        <w:pStyle w:val="Odstavecseseznamem"/>
        <w:numPr>
          <w:ilvl w:val="0"/>
          <w:numId w:val="13"/>
        </w:numPr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Tuto Smlouvu lze měnit nebo doplňovat pouze písemnými dodatky takto označovanými, číslovanými vzestupnou řadou a po dohodě obou Smluvních stran. V případě změn údajů uvedených v záhlaví této Smlouvy, s výjimkou bankovního spojení, není nutnost uzavírat písemný dodatek. Smluvní strana, které se bude změna těchto údajů týkat, je pak povinna na takovou změnu písemně (postačí i emailem) upozornit druhou Smluvní stranu, v opačném případě není změna těchto údajů vůči druhé Smluvní straně účinná.</w:t>
      </w:r>
    </w:p>
    <w:p w14:paraId="49562815" w14:textId="77777777" w:rsidR="00745699" w:rsidRPr="00370DA2" w:rsidRDefault="00745699" w:rsidP="00745699">
      <w:pPr>
        <w:pStyle w:val="Odstavecseseznamem"/>
        <w:numPr>
          <w:ilvl w:val="0"/>
          <w:numId w:val="13"/>
        </w:numPr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Smluvní strany tímto prohlašují, že neexistuje žádné ústní ujednání, smlouva či řízení některé Smluvní strany, které by nepříznivě ovlivnilo výkon jakýchkoliv práv a povinností dle této Smlouvy. Zároveň potvrzují svým podpisem, že veškerá ujištění a dokumenty dle této Smlouvy jsou pravdivé, platné a právně vymahatelné.</w:t>
      </w:r>
    </w:p>
    <w:p w14:paraId="094C9C60" w14:textId="312999CB" w:rsidR="00745699" w:rsidRPr="00370DA2" w:rsidRDefault="00745699" w:rsidP="00745699">
      <w:pPr>
        <w:pStyle w:val="Odstavecseseznamem"/>
        <w:numPr>
          <w:ilvl w:val="0"/>
          <w:numId w:val="13"/>
        </w:numPr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Tato smlouva je </w:t>
      </w:r>
      <w:r w:rsidR="00717BB0">
        <w:rPr>
          <w:rFonts w:cstheme="minorHAnsi"/>
        </w:rPr>
        <w:t>v případě ručního po</w:t>
      </w:r>
      <w:r w:rsidR="00F563B3">
        <w:rPr>
          <w:rFonts w:cstheme="minorHAnsi"/>
        </w:rPr>
        <w:t xml:space="preserve">dpisu </w:t>
      </w:r>
      <w:r w:rsidRPr="00370DA2">
        <w:rPr>
          <w:rFonts w:cstheme="minorHAnsi"/>
        </w:rPr>
        <w:t xml:space="preserve">vyhotovena </w:t>
      </w:r>
      <w:r w:rsidR="00F02BAB">
        <w:rPr>
          <w:rFonts w:cstheme="minorHAnsi"/>
        </w:rPr>
        <w:t xml:space="preserve">ve třech listinných </w:t>
      </w:r>
      <w:r w:rsidR="00504B39">
        <w:rPr>
          <w:rFonts w:cstheme="minorHAnsi"/>
        </w:rPr>
        <w:t>vyhotoveních,</w:t>
      </w:r>
      <w:r w:rsidR="00F02BAB">
        <w:rPr>
          <w:rFonts w:cstheme="minorHAnsi"/>
        </w:rPr>
        <w:t xml:space="preserve"> z nichž jedno obdrží Dodavatel a dvě Objednatel.</w:t>
      </w:r>
    </w:p>
    <w:p w14:paraId="5B17D42F" w14:textId="77777777" w:rsidR="00745699" w:rsidRPr="00370DA2" w:rsidRDefault="00745699" w:rsidP="00745699">
      <w:pPr>
        <w:pStyle w:val="Odstavecseseznamem"/>
        <w:numPr>
          <w:ilvl w:val="0"/>
          <w:numId w:val="13"/>
        </w:numPr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Smluvní strany prohlašují, že si Smlouvu přečetly, souhlasí s jejím obsahem, že tato smlouva byla sepsána určitě, srozumitelně, na základě jejich pravé, svobodné a vážné vůle, bez nátlaku na některou ze stran. Na důkaz toho připojují své podpisy.</w:t>
      </w:r>
    </w:p>
    <w:p w14:paraId="2E950984" w14:textId="77777777" w:rsidR="00745699" w:rsidRPr="00370DA2" w:rsidRDefault="00745699" w:rsidP="00745699">
      <w:pPr>
        <w:pStyle w:val="Odstavecseseznamem"/>
        <w:numPr>
          <w:ilvl w:val="0"/>
          <w:numId w:val="13"/>
        </w:numPr>
        <w:ind w:left="425" w:hanging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 xml:space="preserve">Nedílnou součástí této smlouvy jsou následující přílohy: </w:t>
      </w:r>
    </w:p>
    <w:p w14:paraId="269AE79E" w14:textId="77777777" w:rsidR="00745699" w:rsidRPr="00370DA2" w:rsidRDefault="00745699" w:rsidP="00745699">
      <w:pPr>
        <w:pStyle w:val="Odstavecseseznamem"/>
        <w:ind w:left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Příloha č. 1</w:t>
      </w:r>
      <w:r w:rsidRPr="00370DA2">
        <w:rPr>
          <w:rFonts w:cstheme="minorHAnsi"/>
        </w:rPr>
        <w:tab/>
        <w:t>- Podrobný rozpis ceny</w:t>
      </w:r>
    </w:p>
    <w:p w14:paraId="1FB469FF" w14:textId="2F81A143" w:rsidR="00745699" w:rsidRPr="00370DA2" w:rsidRDefault="00745699" w:rsidP="00745699">
      <w:pPr>
        <w:pStyle w:val="Odstavecseseznamem"/>
        <w:ind w:left="425"/>
        <w:contextualSpacing w:val="0"/>
        <w:jc w:val="both"/>
        <w:rPr>
          <w:rFonts w:cstheme="minorHAnsi"/>
        </w:rPr>
      </w:pPr>
      <w:r w:rsidRPr="00370DA2">
        <w:rPr>
          <w:rFonts w:cstheme="minorHAnsi"/>
        </w:rPr>
        <w:t>Příloha č. 2</w:t>
      </w:r>
      <w:r w:rsidRPr="00370DA2">
        <w:rPr>
          <w:rFonts w:cstheme="minorHAnsi"/>
        </w:rPr>
        <w:tab/>
        <w:t xml:space="preserve">- </w:t>
      </w:r>
      <w:r w:rsidR="00F02BAB">
        <w:rPr>
          <w:rFonts w:cstheme="minorHAnsi"/>
        </w:rPr>
        <w:t>Technická specifikace dodávaného zboží</w:t>
      </w:r>
    </w:p>
    <w:p w14:paraId="67532E0E" w14:textId="77777777" w:rsidR="00745699" w:rsidRPr="00370DA2" w:rsidRDefault="00745699" w:rsidP="00745699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</w:rPr>
      </w:pPr>
    </w:p>
    <w:p w14:paraId="7D1AC7CB" w14:textId="77777777" w:rsidR="00745699" w:rsidRPr="00370DA2" w:rsidRDefault="00745699" w:rsidP="00745699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lang w:val="x-none"/>
        </w:rPr>
      </w:pPr>
    </w:p>
    <w:p w14:paraId="076FA87E" w14:textId="77777777" w:rsidR="00745699" w:rsidRPr="00370DA2" w:rsidRDefault="00745699" w:rsidP="0074569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tLeast"/>
        <w:rPr>
          <w:rFonts w:cstheme="minorHAnsi"/>
        </w:rPr>
      </w:pPr>
      <w:r w:rsidRPr="00370DA2">
        <w:rPr>
          <w:rFonts w:cstheme="minorHAnsi"/>
        </w:rPr>
        <w:t>V</w:t>
      </w:r>
      <w:r w:rsidRPr="00370DA2">
        <w:rPr>
          <w:rFonts w:cstheme="minorHAnsi"/>
          <w:lang w:val="x-none"/>
        </w:rPr>
        <w:t> </w:t>
      </w:r>
      <w:r w:rsidRPr="00370DA2">
        <w:rPr>
          <w:rFonts w:cstheme="minorHAnsi"/>
        </w:rPr>
        <w:t xml:space="preserve">                                                                                    </w:t>
      </w:r>
      <w:r>
        <w:rPr>
          <w:rFonts w:cstheme="minorHAnsi"/>
        </w:rPr>
        <w:tab/>
      </w:r>
      <w:r w:rsidRPr="00370DA2">
        <w:rPr>
          <w:rFonts w:cstheme="minorHAnsi"/>
        </w:rPr>
        <w:t xml:space="preserve">   </w:t>
      </w:r>
      <w:r>
        <w:rPr>
          <w:rFonts w:cstheme="minorHAnsi"/>
        </w:rPr>
        <w:tab/>
      </w:r>
      <w:r w:rsidRPr="00370DA2">
        <w:rPr>
          <w:rFonts w:cstheme="minorHAnsi"/>
        </w:rPr>
        <w:t xml:space="preserve">V Říčanech dne </w:t>
      </w:r>
    </w:p>
    <w:p w14:paraId="619F930F" w14:textId="77777777" w:rsidR="00745699" w:rsidRPr="00370DA2" w:rsidRDefault="00745699" w:rsidP="0074569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x-none"/>
        </w:rPr>
      </w:pPr>
    </w:p>
    <w:p w14:paraId="41D98383" w14:textId="77777777" w:rsidR="00745699" w:rsidRPr="00370DA2" w:rsidRDefault="00745699" w:rsidP="00745699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lang w:val="x-none"/>
        </w:rPr>
      </w:pPr>
    </w:p>
    <w:p w14:paraId="509702FE" w14:textId="77777777" w:rsidR="00745699" w:rsidRPr="00370DA2" w:rsidRDefault="00745699" w:rsidP="00745699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lang w:val="x-none"/>
        </w:rPr>
      </w:pPr>
      <w:r w:rsidRPr="009662DD">
        <w:rPr>
          <w:rFonts w:cstheme="minorHAnsi"/>
          <w:highlight w:val="yellow"/>
        </w:rPr>
        <w:t>Dodavatel</w:t>
      </w:r>
      <w:r w:rsidRPr="009662DD">
        <w:rPr>
          <w:rFonts w:cstheme="minorHAnsi"/>
          <w:highlight w:val="yellow"/>
          <w:lang w:val="x-none"/>
        </w:rPr>
        <w:t>:</w:t>
      </w:r>
      <w:r w:rsidRPr="00370DA2">
        <w:rPr>
          <w:rFonts w:cstheme="minorHAnsi"/>
          <w:lang w:val="x-none"/>
        </w:rPr>
        <w:t xml:space="preserve"> </w:t>
      </w:r>
      <w:r w:rsidRPr="00370DA2">
        <w:rPr>
          <w:rFonts w:cstheme="minorHAnsi"/>
          <w:lang w:val="x-none"/>
        </w:rPr>
        <w:tab/>
      </w:r>
      <w:r w:rsidRPr="00370DA2">
        <w:rPr>
          <w:rFonts w:cstheme="minorHAnsi"/>
          <w:lang w:val="x-none"/>
        </w:rPr>
        <w:tab/>
      </w:r>
      <w:r w:rsidRPr="00370DA2">
        <w:rPr>
          <w:rFonts w:cstheme="minorHAnsi"/>
          <w:lang w:val="x-none"/>
        </w:rPr>
        <w:tab/>
      </w:r>
      <w:r w:rsidRPr="00370DA2">
        <w:rPr>
          <w:rFonts w:cstheme="minorHAnsi"/>
          <w:lang w:val="x-none"/>
        </w:rPr>
        <w:tab/>
      </w:r>
      <w:r w:rsidRPr="00370DA2">
        <w:rPr>
          <w:rFonts w:cstheme="minorHAnsi"/>
          <w:lang w:val="x-none"/>
        </w:rPr>
        <w:tab/>
      </w:r>
      <w:r w:rsidRPr="00370DA2">
        <w:rPr>
          <w:rFonts w:cstheme="minorHAnsi"/>
          <w:lang w:val="x-none"/>
        </w:rPr>
        <w:tab/>
      </w:r>
      <w:r w:rsidRPr="00370DA2">
        <w:rPr>
          <w:rFonts w:cstheme="minorHAnsi"/>
        </w:rPr>
        <w:t xml:space="preserve">   </w:t>
      </w:r>
      <w:r>
        <w:rPr>
          <w:rFonts w:cstheme="minorHAnsi"/>
        </w:rPr>
        <w:tab/>
      </w:r>
      <w:r w:rsidRPr="00370DA2">
        <w:rPr>
          <w:rFonts w:cstheme="minorHAnsi"/>
          <w:lang w:val="x-none"/>
        </w:rPr>
        <w:t xml:space="preserve">Objednatel: </w:t>
      </w:r>
    </w:p>
    <w:p w14:paraId="4C5AB246" w14:textId="77777777" w:rsidR="00745699" w:rsidRPr="00370DA2" w:rsidRDefault="00745699" w:rsidP="00745699">
      <w:pPr>
        <w:spacing w:after="0" w:line="240" w:lineRule="auto"/>
        <w:rPr>
          <w:rFonts w:cstheme="minorHAnsi"/>
        </w:rPr>
      </w:pPr>
    </w:p>
    <w:p w14:paraId="4E7605C4" w14:textId="77777777" w:rsidR="00745699" w:rsidRPr="00370DA2" w:rsidRDefault="00745699" w:rsidP="00745699">
      <w:pPr>
        <w:spacing w:after="0" w:line="240" w:lineRule="auto"/>
        <w:rPr>
          <w:rFonts w:cstheme="minorHAnsi"/>
        </w:rPr>
      </w:pPr>
      <w:r w:rsidRPr="009662DD">
        <w:rPr>
          <w:rFonts w:cstheme="minorHAnsi"/>
          <w:highlight w:val="yellow"/>
        </w:rPr>
        <w:t>…………………..</w:t>
      </w:r>
      <w:r w:rsidRPr="00370DA2">
        <w:rPr>
          <w:rFonts w:cstheme="minorHAnsi"/>
        </w:rPr>
        <w:t xml:space="preserve">                  </w:t>
      </w:r>
      <w:r w:rsidRPr="00370DA2">
        <w:rPr>
          <w:rFonts w:cstheme="minorHAnsi"/>
        </w:rPr>
        <w:tab/>
        <w:t xml:space="preserve">        </w:t>
      </w:r>
      <w:r w:rsidRPr="00370DA2">
        <w:rPr>
          <w:rFonts w:cstheme="minorHAnsi"/>
        </w:rPr>
        <w:tab/>
      </w:r>
      <w:r w:rsidRPr="00370DA2">
        <w:rPr>
          <w:rFonts w:cstheme="minorHAnsi"/>
        </w:rPr>
        <w:tab/>
      </w:r>
      <w:r w:rsidRPr="00370DA2">
        <w:rPr>
          <w:rFonts w:cstheme="minorHAnsi"/>
        </w:rPr>
        <w:tab/>
      </w:r>
      <w:r>
        <w:rPr>
          <w:rFonts w:cstheme="minorHAnsi"/>
        </w:rPr>
        <w:t xml:space="preserve">                             ….</w:t>
      </w:r>
      <w:r w:rsidRPr="00370DA2">
        <w:rPr>
          <w:rFonts w:cstheme="minorHAnsi"/>
        </w:rPr>
        <w:t>……</w:t>
      </w:r>
      <w:r>
        <w:rPr>
          <w:rFonts w:cstheme="minorHAnsi"/>
        </w:rPr>
        <w:t>…</w:t>
      </w:r>
      <w:r w:rsidRPr="00370DA2">
        <w:rPr>
          <w:rFonts w:cstheme="minorHAnsi"/>
        </w:rPr>
        <w:t>………</w:t>
      </w:r>
      <w:r>
        <w:rPr>
          <w:rFonts w:cstheme="minorHAnsi"/>
        </w:rPr>
        <w:t>..</w:t>
      </w:r>
      <w:r w:rsidRPr="00370DA2">
        <w:rPr>
          <w:rFonts w:cstheme="minorHAnsi"/>
        </w:rPr>
        <w:t xml:space="preserve">…………        </w:t>
      </w:r>
    </w:p>
    <w:p w14:paraId="20C7FDFB" w14:textId="605010E3" w:rsidR="00745699" w:rsidRDefault="00745699" w:rsidP="00745699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370DA2">
        <w:rPr>
          <w:rFonts w:cstheme="minorHAnsi"/>
        </w:rPr>
        <w:t xml:space="preserve">   </w:t>
      </w:r>
      <w:r w:rsidRPr="00370DA2">
        <w:rPr>
          <w:rFonts w:cstheme="minorHAnsi"/>
        </w:rPr>
        <w:tab/>
      </w:r>
      <w:r w:rsidRPr="00370DA2">
        <w:rPr>
          <w:rFonts w:cstheme="minorHAnsi"/>
        </w:rPr>
        <w:tab/>
        <w:t xml:space="preserve">                                                   </w:t>
      </w:r>
      <w:r w:rsidRPr="00370DA2">
        <w:rPr>
          <w:rFonts w:cstheme="minorHAnsi"/>
        </w:rPr>
        <w:tab/>
      </w:r>
      <w:r w:rsidRPr="00370DA2">
        <w:rPr>
          <w:rFonts w:cstheme="minorHAnsi"/>
        </w:rPr>
        <w:tab/>
      </w:r>
      <w:r w:rsidR="00F02BAB">
        <w:rPr>
          <w:rFonts w:cstheme="minorHAnsi"/>
        </w:rPr>
        <w:t>Mgr. Dalibor Dudek</w:t>
      </w:r>
    </w:p>
    <w:p w14:paraId="7254FCB8" w14:textId="67A5EA41" w:rsidR="00E9372D" w:rsidRDefault="00745699" w:rsidP="00745699">
      <w:pPr>
        <w:spacing w:after="0" w:line="240" w:lineRule="auto"/>
        <w:outlineLvl w:val="0"/>
        <w:rPr>
          <w:rFonts w:cstheme="minorHAnsi"/>
        </w:rPr>
        <w:sectPr w:rsidR="00E9372D" w:rsidSect="00717BB0">
          <w:pgSz w:w="11906" w:h="16838" w:code="9"/>
          <w:pgMar w:top="1418" w:right="1418" w:bottom="1627" w:left="1418" w:header="709" w:footer="0" w:gutter="0"/>
          <w:cols w:space="708"/>
          <w:docGrid w:linePitch="360"/>
        </w:sectPr>
      </w:pPr>
      <w:r w:rsidRPr="00370DA2">
        <w:rPr>
          <w:rFonts w:cstheme="minorHAnsi"/>
        </w:rPr>
        <w:tab/>
        <w:t xml:space="preserve">                                 </w:t>
      </w:r>
      <w:r>
        <w:rPr>
          <w:rFonts w:cstheme="minorHAnsi"/>
        </w:rPr>
        <w:t xml:space="preserve">           </w:t>
      </w:r>
      <w:r w:rsidRPr="00370DA2">
        <w:rPr>
          <w:rFonts w:cstheme="minorHAnsi"/>
        </w:rPr>
        <w:t xml:space="preserve">                                                        </w:t>
      </w:r>
      <w:r w:rsidR="00F02BAB">
        <w:rPr>
          <w:rFonts w:cstheme="minorHAnsi"/>
        </w:rPr>
        <w:t>ředitel školy</w:t>
      </w:r>
      <w:r w:rsidRPr="00370DA2">
        <w:rPr>
          <w:rFonts w:cstheme="minorHAnsi"/>
        </w:rPr>
        <w:t xml:space="preserve"> </w:t>
      </w:r>
    </w:p>
    <w:p w14:paraId="67ABE69B" w14:textId="42F39004" w:rsidR="005B72CB" w:rsidRDefault="00745699" w:rsidP="00E9372D">
      <w:r w:rsidRPr="00370DA2">
        <w:rPr>
          <w:rFonts w:cstheme="minorHAnsi"/>
        </w:rPr>
        <w:lastRenderedPageBreak/>
        <w:t xml:space="preserve">  </w:t>
      </w:r>
      <w:r w:rsidR="00E9372D">
        <w:t>Příloha č. 1 smlouvy Položkový rozpočet</w:t>
      </w:r>
    </w:p>
    <w:p w14:paraId="57C746F1" w14:textId="09CAF7E1" w:rsidR="005B72CB" w:rsidRDefault="00745699" w:rsidP="00745699">
      <w:pPr>
        <w:spacing w:after="0" w:line="240" w:lineRule="auto"/>
        <w:outlineLvl w:val="0"/>
        <w:rPr>
          <w:rFonts w:cstheme="minorHAnsi"/>
        </w:rPr>
      </w:pPr>
      <w:r w:rsidRPr="00370DA2">
        <w:rPr>
          <w:rFonts w:cstheme="minorHAnsi"/>
        </w:rPr>
        <w:t xml:space="preserve"> </w:t>
      </w:r>
    </w:p>
    <w:p w14:paraId="044643EB" w14:textId="77777777" w:rsidR="005B72CB" w:rsidRDefault="005B72CB" w:rsidP="00745699">
      <w:pPr>
        <w:spacing w:after="0" w:line="240" w:lineRule="auto"/>
        <w:outlineLvl w:val="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"/>
        <w:gridCol w:w="2080"/>
        <w:gridCol w:w="482"/>
        <w:gridCol w:w="1041"/>
        <w:gridCol w:w="1251"/>
        <w:gridCol w:w="1702"/>
        <w:gridCol w:w="2418"/>
        <w:gridCol w:w="1279"/>
        <w:gridCol w:w="743"/>
        <w:gridCol w:w="1865"/>
      </w:tblGrid>
      <w:tr w:rsidR="005B72CB" w14:paraId="6D6C6B9F" w14:textId="77777777" w:rsidTr="00F563B3">
        <w:tc>
          <w:tcPr>
            <w:tcW w:w="922" w:type="dxa"/>
          </w:tcPr>
          <w:p w14:paraId="3EBBC096" w14:textId="153BBFE4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č. položky</w:t>
            </w:r>
          </w:p>
        </w:tc>
        <w:tc>
          <w:tcPr>
            <w:tcW w:w="2080" w:type="dxa"/>
          </w:tcPr>
          <w:p w14:paraId="43D80EDD" w14:textId="0EC5730D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název</w:t>
            </w:r>
          </w:p>
        </w:tc>
        <w:tc>
          <w:tcPr>
            <w:tcW w:w="482" w:type="dxa"/>
          </w:tcPr>
          <w:p w14:paraId="52BEFBFE" w14:textId="461EC48A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MJ</w:t>
            </w:r>
          </w:p>
        </w:tc>
        <w:tc>
          <w:tcPr>
            <w:tcW w:w="1041" w:type="dxa"/>
          </w:tcPr>
          <w:p w14:paraId="03D61299" w14:textId="5C612BF4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množství celkem</w:t>
            </w:r>
          </w:p>
        </w:tc>
        <w:tc>
          <w:tcPr>
            <w:tcW w:w="1251" w:type="dxa"/>
          </w:tcPr>
          <w:p w14:paraId="131AA76D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Cena jednotková</w:t>
            </w:r>
          </w:p>
          <w:p w14:paraId="46942A75" w14:textId="1DD7A239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bez DPH</w:t>
            </w:r>
          </w:p>
        </w:tc>
        <w:tc>
          <w:tcPr>
            <w:tcW w:w="1702" w:type="dxa"/>
          </w:tcPr>
          <w:p w14:paraId="3D2DB128" w14:textId="6A05F131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Značka produktu</w:t>
            </w:r>
          </w:p>
        </w:tc>
        <w:tc>
          <w:tcPr>
            <w:tcW w:w="2418" w:type="dxa"/>
          </w:tcPr>
          <w:p w14:paraId="1CF21F87" w14:textId="300B11F0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Typ produktu</w:t>
            </w:r>
          </w:p>
        </w:tc>
        <w:tc>
          <w:tcPr>
            <w:tcW w:w="1279" w:type="dxa"/>
          </w:tcPr>
          <w:p w14:paraId="0FB04946" w14:textId="5C5DD5F0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Cena celkem bez DPH</w:t>
            </w:r>
          </w:p>
        </w:tc>
        <w:tc>
          <w:tcPr>
            <w:tcW w:w="743" w:type="dxa"/>
          </w:tcPr>
          <w:p w14:paraId="78F7C3FD" w14:textId="0C848A26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Sazba DPH</w:t>
            </w:r>
          </w:p>
        </w:tc>
        <w:tc>
          <w:tcPr>
            <w:tcW w:w="1865" w:type="dxa"/>
          </w:tcPr>
          <w:p w14:paraId="5426BEA4" w14:textId="41EC3D4A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Cena celkem s DPH</w:t>
            </w:r>
          </w:p>
        </w:tc>
      </w:tr>
      <w:tr w:rsidR="005B72CB" w14:paraId="773F2C15" w14:textId="77777777" w:rsidTr="00F563B3">
        <w:tc>
          <w:tcPr>
            <w:tcW w:w="922" w:type="dxa"/>
          </w:tcPr>
          <w:p w14:paraId="7369AEFD" w14:textId="1EF8233D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14:paraId="386B2668" w14:textId="3CED8EFC" w:rsidR="005B72CB" w:rsidRDefault="00F563B3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projektor</w:t>
            </w:r>
          </w:p>
        </w:tc>
        <w:tc>
          <w:tcPr>
            <w:tcW w:w="482" w:type="dxa"/>
          </w:tcPr>
          <w:p w14:paraId="01AD3F6C" w14:textId="7A77B522" w:rsidR="005B72CB" w:rsidRPr="005B72CB" w:rsidRDefault="005B72CB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  <w:r w:rsidRPr="005B72CB">
              <w:rPr>
                <w:rFonts w:eastAsia="Times New Roman" w:cstheme="minorHAnsi"/>
                <w:sz w:val="16"/>
                <w:szCs w:val="16"/>
              </w:rPr>
              <w:t>ks</w:t>
            </w:r>
          </w:p>
        </w:tc>
        <w:tc>
          <w:tcPr>
            <w:tcW w:w="1041" w:type="dxa"/>
          </w:tcPr>
          <w:p w14:paraId="6E66CB54" w14:textId="0CA10B45" w:rsidR="005B72CB" w:rsidRPr="005B72CB" w:rsidRDefault="00F563B3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FFFF00"/>
          </w:tcPr>
          <w:p w14:paraId="78933F17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702" w:type="dxa"/>
            <w:shd w:val="clear" w:color="auto" w:fill="FFFF00"/>
          </w:tcPr>
          <w:p w14:paraId="43E84393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2418" w:type="dxa"/>
            <w:shd w:val="clear" w:color="auto" w:fill="FFFF00"/>
          </w:tcPr>
          <w:p w14:paraId="40753FBC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279" w:type="dxa"/>
            <w:shd w:val="clear" w:color="auto" w:fill="FFFF00"/>
          </w:tcPr>
          <w:p w14:paraId="6D1AE743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743" w:type="dxa"/>
            <w:shd w:val="clear" w:color="auto" w:fill="FFFF00"/>
          </w:tcPr>
          <w:p w14:paraId="3C26D89F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865" w:type="dxa"/>
            <w:shd w:val="clear" w:color="auto" w:fill="FFFF00"/>
          </w:tcPr>
          <w:p w14:paraId="3951192A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</w:tr>
      <w:tr w:rsidR="005B72CB" w14:paraId="38D083F5" w14:textId="77777777" w:rsidTr="00F563B3">
        <w:tc>
          <w:tcPr>
            <w:tcW w:w="922" w:type="dxa"/>
          </w:tcPr>
          <w:p w14:paraId="4D8B1AF0" w14:textId="306CAF75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14:paraId="6C954605" w14:textId="682678A8" w:rsidR="005B72CB" w:rsidRDefault="00F563B3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originální držák projektoru</w:t>
            </w:r>
          </w:p>
        </w:tc>
        <w:tc>
          <w:tcPr>
            <w:tcW w:w="482" w:type="dxa"/>
          </w:tcPr>
          <w:p w14:paraId="35AC300B" w14:textId="2251A6A0" w:rsidR="005B72CB" w:rsidRPr="005B72CB" w:rsidRDefault="005B72CB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  <w:r w:rsidRPr="005B72CB">
              <w:rPr>
                <w:rFonts w:eastAsia="Times New Roman" w:cstheme="minorHAnsi"/>
                <w:sz w:val="16"/>
                <w:szCs w:val="16"/>
              </w:rPr>
              <w:t>ks</w:t>
            </w:r>
          </w:p>
        </w:tc>
        <w:tc>
          <w:tcPr>
            <w:tcW w:w="1041" w:type="dxa"/>
          </w:tcPr>
          <w:p w14:paraId="29BBE426" w14:textId="4CA6882F" w:rsidR="005B72CB" w:rsidRPr="005B72CB" w:rsidRDefault="00F563B3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FFFF00"/>
          </w:tcPr>
          <w:p w14:paraId="282C4A97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702" w:type="dxa"/>
            <w:shd w:val="clear" w:color="auto" w:fill="FFFF00"/>
          </w:tcPr>
          <w:p w14:paraId="463652F4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2418" w:type="dxa"/>
            <w:shd w:val="clear" w:color="auto" w:fill="FFFF00"/>
          </w:tcPr>
          <w:p w14:paraId="2D193B26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279" w:type="dxa"/>
            <w:shd w:val="clear" w:color="auto" w:fill="FFFF00"/>
          </w:tcPr>
          <w:p w14:paraId="3BFEF8D9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743" w:type="dxa"/>
            <w:shd w:val="clear" w:color="auto" w:fill="FFFF00"/>
          </w:tcPr>
          <w:p w14:paraId="3F9D60B8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865" w:type="dxa"/>
            <w:shd w:val="clear" w:color="auto" w:fill="FFFF00"/>
          </w:tcPr>
          <w:p w14:paraId="13943C0D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</w:tr>
      <w:tr w:rsidR="005B72CB" w14:paraId="76A32F1D" w14:textId="77777777" w:rsidTr="00F563B3">
        <w:tc>
          <w:tcPr>
            <w:tcW w:w="922" w:type="dxa"/>
          </w:tcPr>
          <w:p w14:paraId="4364464A" w14:textId="47750DF7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80" w:type="dxa"/>
          </w:tcPr>
          <w:p w14:paraId="78E96A1C" w14:textId="00E1BD38" w:rsidR="005B72CB" w:rsidRDefault="00F563B3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Montážní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kit</w:t>
            </w:r>
            <w:proofErr w:type="spellEnd"/>
          </w:p>
        </w:tc>
        <w:tc>
          <w:tcPr>
            <w:tcW w:w="482" w:type="dxa"/>
          </w:tcPr>
          <w:p w14:paraId="2D989D39" w14:textId="0D9840FB" w:rsidR="005B72CB" w:rsidRPr="005B72CB" w:rsidRDefault="005B72CB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  <w:r w:rsidRPr="005B72CB">
              <w:rPr>
                <w:rFonts w:eastAsia="Times New Roman" w:cstheme="minorHAnsi"/>
                <w:sz w:val="16"/>
                <w:szCs w:val="16"/>
              </w:rPr>
              <w:t>ks</w:t>
            </w:r>
          </w:p>
        </w:tc>
        <w:tc>
          <w:tcPr>
            <w:tcW w:w="1041" w:type="dxa"/>
          </w:tcPr>
          <w:p w14:paraId="52D460A8" w14:textId="0CBB48E1" w:rsidR="005B72CB" w:rsidRPr="005B72CB" w:rsidRDefault="00F563B3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FFFF00"/>
          </w:tcPr>
          <w:p w14:paraId="388CFBC7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702" w:type="dxa"/>
            <w:shd w:val="clear" w:color="auto" w:fill="FFFF00"/>
          </w:tcPr>
          <w:p w14:paraId="13A3C69B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2418" w:type="dxa"/>
            <w:shd w:val="clear" w:color="auto" w:fill="FFFF00"/>
          </w:tcPr>
          <w:p w14:paraId="0D06DC76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279" w:type="dxa"/>
            <w:shd w:val="clear" w:color="auto" w:fill="FFFF00"/>
          </w:tcPr>
          <w:p w14:paraId="5B445E87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743" w:type="dxa"/>
            <w:shd w:val="clear" w:color="auto" w:fill="FFFF00"/>
          </w:tcPr>
          <w:p w14:paraId="68EB3BB4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865" w:type="dxa"/>
            <w:shd w:val="clear" w:color="auto" w:fill="FFFF00"/>
          </w:tcPr>
          <w:p w14:paraId="235E605A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</w:tr>
      <w:tr w:rsidR="005B72CB" w14:paraId="192D7CD1" w14:textId="77777777" w:rsidTr="00F563B3">
        <w:tc>
          <w:tcPr>
            <w:tcW w:w="922" w:type="dxa"/>
          </w:tcPr>
          <w:p w14:paraId="6D53643E" w14:textId="70A59598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80" w:type="dxa"/>
          </w:tcPr>
          <w:p w14:paraId="33399057" w14:textId="2BE904FF" w:rsidR="005B72CB" w:rsidRDefault="00F563B3" w:rsidP="00745699">
            <w:pPr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Montáž, instalace, doprava, likvidace odpadu</w:t>
            </w:r>
          </w:p>
        </w:tc>
        <w:tc>
          <w:tcPr>
            <w:tcW w:w="482" w:type="dxa"/>
          </w:tcPr>
          <w:p w14:paraId="42633026" w14:textId="5838AB79" w:rsidR="005B72CB" w:rsidRPr="005B72CB" w:rsidRDefault="005B72CB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23AF3C6" w14:textId="111725AA" w:rsidR="005B72CB" w:rsidRPr="005B72CB" w:rsidRDefault="005B72CB" w:rsidP="00745699">
            <w:pPr>
              <w:spacing w:after="0" w:line="240" w:lineRule="auto"/>
              <w:outlineLvl w:val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FFFF00"/>
          </w:tcPr>
          <w:p w14:paraId="5AA6E831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702" w:type="dxa"/>
            <w:shd w:val="clear" w:color="auto" w:fill="FFFF00"/>
          </w:tcPr>
          <w:p w14:paraId="502683FB" w14:textId="400CA307" w:rsidR="005B72CB" w:rsidRPr="005B72CB" w:rsidRDefault="00F563B3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x</w:t>
            </w:r>
          </w:p>
        </w:tc>
        <w:tc>
          <w:tcPr>
            <w:tcW w:w="2418" w:type="dxa"/>
            <w:shd w:val="clear" w:color="auto" w:fill="FFFF00"/>
          </w:tcPr>
          <w:p w14:paraId="70A20866" w14:textId="3FD72D31" w:rsidR="005B72CB" w:rsidRPr="005B72CB" w:rsidRDefault="00F563B3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x</w:t>
            </w:r>
          </w:p>
        </w:tc>
        <w:tc>
          <w:tcPr>
            <w:tcW w:w="1279" w:type="dxa"/>
            <w:shd w:val="clear" w:color="auto" w:fill="FFFF00"/>
          </w:tcPr>
          <w:p w14:paraId="1329378E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743" w:type="dxa"/>
            <w:shd w:val="clear" w:color="auto" w:fill="FFFF00"/>
          </w:tcPr>
          <w:p w14:paraId="2F44F7DC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865" w:type="dxa"/>
            <w:shd w:val="clear" w:color="auto" w:fill="FFFF00"/>
          </w:tcPr>
          <w:p w14:paraId="03E59262" w14:textId="77777777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highlight w:val="yellow"/>
              </w:rPr>
            </w:pPr>
          </w:p>
        </w:tc>
      </w:tr>
      <w:tr w:rsidR="005B72CB" w14:paraId="4FE75AA0" w14:textId="77777777" w:rsidTr="00F563B3">
        <w:tc>
          <w:tcPr>
            <w:tcW w:w="9896" w:type="dxa"/>
            <w:gridSpan w:val="7"/>
          </w:tcPr>
          <w:p w14:paraId="0571CF69" w14:textId="4136F09F" w:rsidR="005B72CB" w:rsidRPr="005B72CB" w:rsidRDefault="005B72CB" w:rsidP="00745699">
            <w:pPr>
              <w:spacing w:after="0" w:line="240" w:lineRule="auto"/>
              <w:outlineLvl w:val="0"/>
              <w:rPr>
                <w:rFonts w:cstheme="minorHAnsi"/>
                <w:b/>
                <w:bCs/>
              </w:rPr>
            </w:pPr>
            <w:r w:rsidRPr="005B72CB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1279" w:type="dxa"/>
            <w:shd w:val="clear" w:color="auto" w:fill="FFFF00"/>
          </w:tcPr>
          <w:p w14:paraId="7A2EB221" w14:textId="77777777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</w:p>
        </w:tc>
        <w:tc>
          <w:tcPr>
            <w:tcW w:w="743" w:type="dxa"/>
            <w:shd w:val="clear" w:color="auto" w:fill="FFFF00"/>
          </w:tcPr>
          <w:p w14:paraId="6C7484A9" w14:textId="77777777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</w:p>
        </w:tc>
        <w:tc>
          <w:tcPr>
            <w:tcW w:w="1865" w:type="dxa"/>
            <w:shd w:val="clear" w:color="auto" w:fill="FFFF00"/>
          </w:tcPr>
          <w:p w14:paraId="4D123E28" w14:textId="77777777" w:rsidR="005B72CB" w:rsidRDefault="005B72CB" w:rsidP="00745699">
            <w:pPr>
              <w:spacing w:after="0" w:line="240" w:lineRule="auto"/>
              <w:outlineLvl w:val="0"/>
              <w:rPr>
                <w:rFonts w:cstheme="minorHAnsi"/>
              </w:rPr>
            </w:pPr>
          </w:p>
        </w:tc>
      </w:tr>
    </w:tbl>
    <w:p w14:paraId="7D03ADF4" w14:textId="77777777" w:rsidR="002A28F5" w:rsidRDefault="00E9372D" w:rsidP="00745699">
      <w:pPr>
        <w:spacing w:after="0" w:line="240" w:lineRule="auto"/>
        <w:outlineLvl w:val="0"/>
        <w:rPr>
          <w:rFonts w:eastAsiaTheme="minorHAnsi"/>
          <w:kern w:val="2"/>
          <w:lang w:eastAsia="en-US"/>
          <w14:ligatures w14:val="standardContextual"/>
        </w:rPr>
      </w:pPr>
      <w:r>
        <w:fldChar w:fldCharType="begin"/>
      </w:r>
      <w:r>
        <w:instrText xml:space="preserve"> LINK Excel.Sheet.12 "https://dms.ricany.cz/odbory/map/Sdilene dokumenty/MAP_OPJAK/projekty škol/ostatní/3zs_digitální zařízení/příloha č.4_technická specifikace.xlsx" "učebna_1!R6C1:R16C15" \a \f 4 \h  \* MERGEFORMAT </w:instrText>
      </w:r>
      <w:r>
        <w:fldChar w:fldCharType="separate"/>
      </w:r>
    </w:p>
    <w:p w14:paraId="33674E7E" w14:textId="7380A96B" w:rsidR="00745699" w:rsidRDefault="00E9372D" w:rsidP="00745699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fldChar w:fldCharType="end"/>
      </w:r>
    </w:p>
    <w:p w14:paraId="1D6D96B0" w14:textId="77777777" w:rsidR="005B72CB" w:rsidRDefault="005B72CB" w:rsidP="00745699">
      <w:pPr>
        <w:spacing w:after="0" w:line="240" w:lineRule="auto"/>
        <w:outlineLvl w:val="0"/>
        <w:rPr>
          <w:rFonts w:eastAsiaTheme="minorHAnsi"/>
          <w:kern w:val="2"/>
          <w:lang w:eastAsia="en-US"/>
          <w14:ligatures w14:val="standardContextual"/>
        </w:rPr>
        <w:sectPr w:rsidR="005B72CB" w:rsidSect="00E9372D">
          <w:pgSz w:w="16838" w:h="11906" w:orient="landscape" w:code="9"/>
          <w:pgMar w:top="1418" w:right="1418" w:bottom="1418" w:left="1627" w:header="709" w:footer="2098" w:gutter="0"/>
          <w:cols w:space="708"/>
          <w:docGrid w:linePitch="360"/>
        </w:sectPr>
      </w:pPr>
    </w:p>
    <w:p w14:paraId="0B612B41" w14:textId="30130355" w:rsidR="005B72CB" w:rsidRDefault="005B72CB" w:rsidP="00745699">
      <w:pPr>
        <w:spacing w:after="0" w:line="240" w:lineRule="auto"/>
        <w:outlineLvl w:val="0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lastRenderedPageBreak/>
        <w:t>Příloha č. 2 smlouvy Technická specifikace</w:t>
      </w:r>
    </w:p>
    <w:p w14:paraId="7C9C6C4F" w14:textId="77777777" w:rsidR="002A28F5" w:rsidRDefault="002A28F5" w:rsidP="00745699">
      <w:pPr>
        <w:spacing w:after="0" w:line="240" w:lineRule="auto"/>
        <w:outlineLvl w:val="0"/>
        <w:rPr>
          <w:rFonts w:eastAsiaTheme="minorHAnsi"/>
          <w:kern w:val="2"/>
          <w:lang w:eastAsia="en-US"/>
          <w14:ligatures w14:val="standardContextual"/>
        </w:rPr>
      </w:pPr>
    </w:p>
    <w:tbl>
      <w:tblPr>
        <w:tblStyle w:val="Mkatabulky"/>
        <w:tblW w:w="9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802"/>
      </w:tblGrid>
      <w:tr w:rsidR="00504B39" w:rsidRPr="000D2F34" w14:paraId="55C4D53C" w14:textId="6E653D7E" w:rsidTr="00F563B3">
        <w:trPr>
          <w:trHeight w:val="571"/>
        </w:trPr>
        <w:tc>
          <w:tcPr>
            <w:tcW w:w="2268" w:type="dxa"/>
            <w:hideMark/>
          </w:tcPr>
          <w:p w14:paraId="38F8AF19" w14:textId="73CDFDE6" w:rsidR="00504B39" w:rsidRPr="000D2F34" w:rsidRDefault="00F563B3" w:rsidP="00504B39">
            <w:pPr>
              <w:rPr>
                <w:rFonts w:ascii="Calibri" w:eastAsia="Calibri" w:hAnsi="Calibri" w:cs="Calibri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projektor</w:t>
            </w:r>
          </w:p>
        </w:tc>
        <w:tc>
          <w:tcPr>
            <w:tcW w:w="6802" w:type="dxa"/>
            <w:shd w:val="clear" w:color="auto" w:fill="FFFF00"/>
          </w:tcPr>
          <w:p w14:paraId="3CF50D99" w14:textId="77777777" w:rsidR="00504B39" w:rsidRPr="00E94941" w:rsidRDefault="00504B39" w:rsidP="00504B39"/>
        </w:tc>
      </w:tr>
      <w:tr w:rsidR="00504B39" w:rsidRPr="000D2F34" w14:paraId="77BC8ACD" w14:textId="0B938D5D" w:rsidTr="00F563B3">
        <w:trPr>
          <w:trHeight w:val="571"/>
        </w:trPr>
        <w:tc>
          <w:tcPr>
            <w:tcW w:w="2268" w:type="dxa"/>
            <w:hideMark/>
          </w:tcPr>
          <w:p w14:paraId="7B353E7A" w14:textId="475D1961" w:rsidR="00504B39" w:rsidRPr="000D2F34" w:rsidRDefault="006E4C66" w:rsidP="00504B39">
            <w:pPr>
              <w:rPr>
                <w:rFonts w:ascii="Calibri" w:eastAsia="Calibri" w:hAnsi="Calibri" w:cs="Calibri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</w:t>
            </w:r>
            <w:r w:rsidR="00F563B3">
              <w:rPr>
                <w:rFonts w:eastAsia="Times New Roman" w:cstheme="minorHAnsi"/>
                <w:sz w:val="16"/>
                <w:szCs w:val="16"/>
              </w:rPr>
              <w:t>ržák projektoru</w:t>
            </w:r>
          </w:p>
        </w:tc>
        <w:tc>
          <w:tcPr>
            <w:tcW w:w="6802" w:type="dxa"/>
            <w:shd w:val="clear" w:color="auto" w:fill="FFFF00"/>
          </w:tcPr>
          <w:p w14:paraId="36A2ED1F" w14:textId="77777777" w:rsidR="00504B39" w:rsidRPr="00E94941" w:rsidRDefault="00504B39" w:rsidP="00504B39"/>
        </w:tc>
      </w:tr>
    </w:tbl>
    <w:p w14:paraId="0A5AB019" w14:textId="77777777" w:rsidR="002A28F5" w:rsidRPr="005B72CB" w:rsidRDefault="002A28F5" w:rsidP="00745699">
      <w:pPr>
        <w:spacing w:after="0" w:line="240" w:lineRule="auto"/>
        <w:outlineLvl w:val="0"/>
        <w:rPr>
          <w:rFonts w:eastAsiaTheme="minorHAnsi"/>
          <w:kern w:val="2"/>
          <w:lang w:eastAsia="en-US"/>
          <w14:ligatures w14:val="standardContextual"/>
        </w:rPr>
      </w:pPr>
    </w:p>
    <w:p w14:paraId="303D5E98" w14:textId="77777777" w:rsidR="00007468" w:rsidRDefault="00007468" w:rsidP="00007468"/>
    <w:p w14:paraId="77A612A8" w14:textId="77777777" w:rsidR="005B72CB" w:rsidRDefault="005B72CB" w:rsidP="00007468"/>
    <w:p w14:paraId="0797E1DC" w14:textId="77777777" w:rsidR="00E9372D" w:rsidRDefault="00E9372D" w:rsidP="00007468"/>
    <w:p w14:paraId="394C58E6" w14:textId="77777777" w:rsidR="00E9372D" w:rsidRDefault="00E9372D" w:rsidP="00007468"/>
    <w:p w14:paraId="0238C502" w14:textId="77777777" w:rsidR="00E9372D" w:rsidRDefault="00E9372D" w:rsidP="00007468"/>
    <w:p w14:paraId="7DD76053" w14:textId="77777777" w:rsidR="00E9372D" w:rsidRDefault="00E9372D" w:rsidP="00007468"/>
    <w:p w14:paraId="270A063A" w14:textId="77777777" w:rsidR="00E9372D" w:rsidRDefault="00E9372D" w:rsidP="00007468"/>
    <w:p w14:paraId="2AB4C0DD" w14:textId="77777777" w:rsidR="00E9372D" w:rsidRDefault="00E9372D" w:rsidP="00007468"/>
    <w:p w14:paraId="03D87C7D" w14:textId="77777777" w:rsidR="00E9372D" w:rsidRDefault="00E9372D" w:rsidP="00007468"/>
    <w:p w14:paraId="79CCC6A8" w14:textId="77777777" w:rsidR="00E9372D" w:rsidRDefault="00E9372D" w:rsidP="00007468"/>
    <w:p w14:paraId="28CC0A42" w14:textId="77777777" w:rsidR="00E9372D" w:rsidRDefault="00E9372D" w:rsidP="00007468"/>
    <w:p w14:paraId="71132920" w14:textId="77777777" w:rsidR="00E9372D" w:rsidRDefault="00E9372D" w:rsidP="00007468"/>
    <w:p w14:paraId="3CA3ABA5" w14:textId="77777777" w:rsidR="00E9372D" w:rsidRDefault="00E9372D" w:rsidP="00007468"/>
    <w:sectPr w:rsidR="00E9372D" w:rsidSect="005B72CB">
      <w:pgSz w:w="11906" w:h="16838" w:code="9"/>
      <w:pgMar w:top="1418" w:right="1418" w:bottom="1627" w:left="1418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AA7C" w14:textId="77777777" w:rsidR="00007468" w:rsidRDefault="00007468" w:rsidP="00007468">
      <w:pPr>
        <w:spacing w:after="0" w:line="240" w:lineRule="auto"/>
      </w:pPr>
      <w:r>
        <w:separator/>
      </w:r>
    </w:p>
  </w:endnote>
  <w:endnote w:type="continuationSeparator" w:id="0">
    <w:p w14:paraId="4853C587" w14:textId="77777777" w:rsidR="00007468" w:rsidRDefault="00007468" w:rsidP="0000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F3CD" w14:textId="77777777" w:rsidR="00007468" w:rsidRDefault="00007468" w:rsidP="00007468">
      <w:pPr>
        <w:spacing w:after="0" w:line="240" w:lineRule="auto"/>
      </w:pPr>
      <w:r>
        <w:separator/>
      </w:r>
    </w:p>
  </w:footnote>
  <w:footnote w:type="continuationSeparator" w:id="0">
    <w:p w14:paraId="3D1EB9FB" w14:textId="77777777" w:rsidR="00007468" w:rsidRDefault="00007468" w:rsidP="0000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FCE"/>
    <w:multiLevelType w:val="hybridMultilevel"/>
    <w:tmpl w:val="FD9A800C"/>
    <w:lvl w:ilvl="0" w:tplc="C4DA5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08E"/>
    <w:multiLevelType w:val="hybridMultilevel"/>
    <w:tmpl w:val="0BC6FC7C"/>
    <w:lvl w:ilvl="0" w:tplc="DCF65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E0D"/>
    <w:multiLevelType w:val="hybridMultilevel"/>
    <w:tmpl w:val="DDBC12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2AC"/>
    <w:multiLevelType w:val="multilevel"/>
    <w:tmpl w:val="9AA67B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A6AAF"/>
    <w:multiLevelType w:val="hybridMultilevel"/>
    <w:tmpl w:val="2456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A323D"/>
    <w:multiLevelType w:val="hybridMultilevel"/>
    <w:tmpl w:val="FEF0C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B3BA0"/>
    <w:multiLevelType w:val="hybridMultilevel"/>
    <w:tmpl w:val="76FE62BC"/>
    <w:lvl w:ilvl="0" w:tplc="C40EE9BC">
      <w:start w:val="2"/>
      <w:numFmt w:val="bullet"/>
      <w:lvlText w:val="-"/>
      <w:lvlJc w:val="left"/>
      <w:pPr>
        <w:ind w:left="1071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46E57E4B"/>
    <w:multiLevelType w:val="hybridMultilevel"/>
    <w:tmpl w:val="B80887E6"/>
    <w:lvl w:ilvl="0" w:tplc="C472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17404"/>
    <w:multiLevelType w:val="hybridMultilevel"/>
    <w:tmpl w:val="06CC0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73CE"/>
    <w:multiLevelType w:val="hybridMultilevel"/>
    <w:tmpl w:val="680E3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93EA5"/>
    <w:multiLevelType w:val="hybridMultilevel"/>
    <w:tmpl w:val="879AB4A4"/>
    <w:lvl w:ilvl="0" w:tplc="950434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A53F1"/>
    <w:multiLevelType w:val="hybridMultilevel"/>
    <w:tmpl w:val="4738A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758F2"/>
    <w:multiLevelType w:val="hybridMultilevel"/>
    <w:tmpl w:val="3F4466D6"/>
    <w:lvl w:ilvl="0" w:tplc="B9CE9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B05BD1"/>
    <w:multiLevelType w:val="hybridMultilevel"/>
    <w:tmpl w:val="9814D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085C"/>
    <w:multiLevelType w:val="hybridMultilevel"/>
    <w:tmpl w:val="AFEE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23379"/>
    <w:multiLevelType w:val="hybridMultilevel"/>
    <w:tmpl w:val="B1D4AE9A"/>
    <w:lvl w:ilvl="0" w:tplc="54F83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661A"/>
    <w:multiLevelType w:val="hybridMultilevel"/>
    <w:tmpl w:val="680E39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57480D"/>
    <w:multiLevelType w:val="hybridMultilevel"/>
    <w:tmpl w:val="1C1A5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5448">
    <w:abstractNumId w:val="16"/>
  </w:num>
  <w:num w:numId="2" w16cid:durableId="1849978091">
    <w:abstractNumId w:val="9"/>
  </w:num>
  <w:num w:numId="3" w16cid:durableId="1474330212">
    <w:abstractNumId w:val="0"/>
  </w:num>
  <w:num w:numId="4" w16cid:durableId="928537184">
    <w:abstractNumId w:val="7"/>
  </w:num>
  <w:num w:numId="5" w16cid:durableId="228227842">
    <w:abstractNumId w:val="10"/>
  </w:num>
  <w:num w:numId="6" w16cid:durableId="384763831">
    <w:abstractNumId w:val="1"/>
  </w:num>
  <w:num w:numId="7" w16cid:durableId="255788635">
    <w:abstractNumId w:val="5"/>
  </w:num>
  <w:num w:numId="8" w16cid:durableId="1648432010">
    <w:abstractNumId w:val="15"/>
  </w:num>
  <w:num w:numId="9" w16cid:durableId="1877966845">
    <w:abstractNumId w:val="13"/>
  </w:num>
  <w:num w:numId="10" w16cid:durableId="1471970814">
    <w:abstractNumId w:val="17"/>
  </w:num>
  <w:num w:numId="11" w16cid:durableId="1005479404">
    <w:abstractNumId w:val="11"/>
  </w:num>
  <w:num w:numId="12" w16cid:durableId="1751001291">
    <w:abstractNumId w:val="12"/>
  </w:num>
  <w:num w:numId="13" w16cid:durableId="2010404320">
    <w:abstractNumId w:val="2"/>
  </w:num>
  <w:num w:numId="14" w16cid:durableId="344794323">
    <w:abstractNumId w:val="6"/>
  </w:num>
  <w:num w:numId="15" w16cid:durableId="149173279">
    <w:abstractNumId w:val="3"/>
  </w:num>
  <w:num w:numId="16" w16cid:durableId="2112696178">
    <w:abstractNumId w:val="4"/>
  </w:num>
  <w:num w:numId="17" w16cid:durableId="1121611280">
    <w:abstractNumId w:val="8"/>
  </w:num>
  <w:num w:numId="18" w16cid:durableId="2047437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68"/>
    <w:rsid w:val="00007468"/>
    <w:rsid w:val="000C5692"/>
    <w:rsid w:val="00132C74"/>
    <w:rsid w:val="002A28F5"/>
    <w:rsid w:val="00313147"/>
    <w:rsid w:val="00504B39"/>
    <w:rsid w:val="0054233B"/>
    <w:rsid w:val="005B72CB"/>
    <w:rsid w:val="006B0D1D"/>
    <w:rsid w:val="006E4C66"/>
    <w:rsid w:val="00714BCE"/>
    <w:rsid w:val="00717BB0"/>
    <w:rsid w:val="00745699"/>
    <w:rsid w:val="008957C0"/>
    <w:rsid w:val="009331BE"/>
    <w:rsid w:val="009662DD"/>
    <w:rsid w:val="009F5C19"/>
    <w:rsid w:val="009F68EA"/>
    <w:rsid w:val="00A40324"/>
    <w:rsid w:val="00E9372D"/>
    <w:rsid w:val="00F02BAB"/>
    <w:rsid w:val="00F520E9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D647F"/>
  <w15:chartTrackingRefBased/>
  <w15:docId w15:val="{976F5A95-B37A-420B-8008-8E5E4293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468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68"/>
  </w:style>
  <w:style w:type="paragraph" w:styleId="Zpat">
    <w:name w:val="footer"/>
    <w:basedOn w:val="Normln"/>
    <w:link w:val="ZpatChar"/>
    <w:uiPriority w:val="99"/>
    <w:unhideWhenUsed/>
    <w:rsid w:val="0000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68"/>
  </w:style>
  <w:style w:type="paragraph" w:customStyle="1" w:styleId="Default">
    <w:name w:val="Default"/>
    <w:rsid w:val="000074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4569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745699"/>
    <w:rPr>
      <w:rFonts w:eastAsiaTheme="minorEastAsia"/>
      <w:kern w:val="0"/>
      <w:lang w:eastAsia="cs-CZ"/>
      <w14:ligatures w14:val="none"/>
    </w:rPr>
  </w:style>
  <w:style w:type="character" w:styleId="Hypertextovodkaz">
    <w:name w:val="Hyperlink"/>
    <w:rsid w:val="00745699"/>
    <w:rPr>
      <w:color w:val="0563C1"/>
      <w:u w:val="single"/>
    </w:rPr>
  </w:style>
  <w:style w:type="character" w:customStyle="1" w:styleId="Zkladntext">
    <w:name w:val="Základní text_"/>
    <w:basedOn w:val="Standardnpsmoodstavce"/>
    <w:link w:val="Zkladntext1"/>
    <w:rsid w:val="00745699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745699"/>
    <w:pPr>
      <w:widowControl w:val="0"/>
      <w:spacing w:after="60" w:line="240" w:lineRule="auto"/>
    </w:pPr>
    <w:rPr>
      <w:rFonts w:ascii="Calibri" w:eastAsia="Calibri" w:hAnsi="Calibri" w:cs="Calibri"/>
      <w:kern w:val="2"/>
      <w:lang w:eastAsia="en-US"/>
      <w14:ligatures w14:val="standardContextual"/>
    </w:rPr>
  </w:style>
  <w:style w:type="table" w:styleId="Svtltabulkasmkou1zvraznn3">
    <w:name w:val="Grid Table 1 Light Accent 3"/>
    <w:basedOn w:val="Normlntabulka"/>
    <w:uiPriority w:val="46"/>
    <w:rsid w:val="005B72C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5B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A2E3EE8C015428EF9A0815181279D" ma:contentTypeVersion="" ma:contentTypeDescription="Vytvoří nový dokument" ma:contentTypeScope="" ma:versionID="dce207e923202eee2303fed68ae752db">
  <xsd:schema xmlns:xsd="http://www.w3.org/2001/XMLSchema" xmlns:xs="http://www.w3.org/2001/XMLSchema" xmlns:p="http://schemas.microsoft.com/office/2006/metadata/properties" xmlns:ns2="b447a5d1-917c-4978-ac64-29f207ace744" targetNamespace="http://schemas.microsoft.com/office/2006/metadata/properties" ma:root="true" ma:fieldsID="13783055dc7094f1f7c1b35b0cabd434" ns2:_="">
    <xsd:import namespace="b447a5d1-917c-4978-ac64-29f207ace7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a5d1-917c-4978-ac64-29f207ace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BE69A-ACE7-4C35-817D-2FCA22A2F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C4E9C-B12A-4E67-9F92-C633608CF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707DF-E335-460A-86C8-8929AD7F6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7a5d1-917c-4978-ac64-29f207ac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2036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Žilková Monika Ing.</dc:creator>
  <cp:keywords/>
  <dc:description/>
  <cp:lastModifiedBy>Žilková Monika Ing.</cp:lastModifiedBy>
  <cp:revision>4</cp:revision>
  <cp:lastPrinted>2024-10-07T14:33:00Z</cp:lastPrinted>
  <dcterms:created xsi:type="dcterms:W3CDTF">2024-09-16T16:34:00Z</dcterms:created>
  <dcterms:modified xsi:type="dcterms:W3CDTF">2024-10-08T14:23:00Z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0x0101005CCA2E3EE8C015428EF9A0815181279D</vt:lpwstr>
  </property>
</Properties>
</file>