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3AE96" w14:textId="77777777" w:rsidR="00AC04FD" w:rsidRDefault="00AC04FD" w:rsidP="00AC04FD">
      <w:pPr>
        <w:jc w:val="both"/>
        <w:rPr>
          <w:rFonts w:ascii="Calibri" w:hAnsi="Calibri" w:cs="Arial"/>
          <w:b/>
        </w:rPr>
      </w:pPr>
    </w:p>
    <w:p w14:paraId="439D9186" w14:textId="77777777" w:rsidR="00AC04FD" w:rsidRDefault="00AC04FD" w:rsidP="00AC04FD">
      <w:pPr>
        <w:jc w:val="both"/>
        <w:rPr>
          <w:rFonts w:ascii="Calibri" w:hAnsi="Calibri" w:cs="Arial"/>
          <w:b/>
        </w:rPr>
      </w:pPr>
    </w:p>
    <w:p w14:paraId="0EE4A424" w14:textId="77777777" w:rsidR="00D402A1" w:rsidRDefault="00D402A1" w:rsidP="00AC04FD">
      <w:pPr>
        <w:jc w:val="both"/>
        <w:rPr>
          <w:rFonts w:ascii="Calibri" w:hAnsi="Calibri" w:cs="Arial"/>
          <w:b/>
        </w:rPr>
      </w:pPr>
    </w:p>
    <w:p w14:paraId="7479A01D" w14:textId="77777777" w:rsidR="00D402A1" w:rsidRDefault="00D402A1" w:rsidP="00AC04FD">
      <w:pPr>
        <w:jc w:val="both"/>
        <w:rPr>
          <w:rFonts w:ascii="Calibri" w:hAnsi="Calibri" w:cs="Arial"/>
          <w:b/>
        </w:rPr>
      </w:pPr>
    </w:p>
    <w:p w14:paraId="79006AB9" w14:textId="77777777" w:rsidR="00D402A1" w:rsidRDefault="00BF1FF7" w:rsidP="00AC04FD">
      <w:pPr>
        <w:jc w:val="both"/>
        <w:rPr>
          <w:rFonts w:ascii="Calibri" w:hAnsi="Calibri" w:cs="Arial"/>
          <w:b/>
        </w:rPr>
      </w:pPr>
      <w:r w:rsidRPr="00BF1FF7">
        <w:rPr>
          <w:rFonts w:ascii="Calibri" w:hAnsi="Calibri" w:cs="Arial"/>
          <w:b/>
          <w:noProof/>
        </w:rPr>
        <w:drawing>
          <wp:inline distT="0" distB="0" distL="0" distR="0">
            <wp:extent cx="2190750" cy="609600"/>
            <wp:effectExtent l="19050" t="0" r="0" b="0"/>
            <wp:docPr id="2" name="obrázek 2" descr="cid:493C35AA-0198-4EDB-97DD-A71BC992836A@zyxel.com"/>
            <wp:cNvGraphicFramePr/>
            <a:graphic xmlns:a="http://schemas.openxmlformats.org/drawingml/2006/main">
              <a:graphicData uri="http://schemas.openxmlformats.org/drawingml/2006/picture">
                <pic:pic xmlns:pic="http://schemas.openxmlformats.org/drawingml/2006/picture">
                  <pic:nvPicPr>
                    <pic:cNvPr id="0" name="28a22538-7243-4edc-af07-547c3309ffad" descr="cid:493C35AA-0198-4EDB-97DD-A71BC992836A@zyxel.com"/>
                    <pic:cNvPicPr>
                      <a:picLocks noChangeAspect="1" noChangeArrowheads="1"/>
                    </pic:cNvPicPr>
                  </pic:nvPicPr>
                  <pic:blipFill>
                    <a:blip r:embed="rId5" cstate="print"/>
                    <a:srcRect/>
                    <a:stretch>
                      <a:fillRect/>
                    </a:stretch>
                  </pic:blipFill>
                  <pic:spPr bwMode="auto">
                    <a:xfrm>
                      <a:off x="0" y="0"/>
                      <a:ext cx="2190750" cy="609600"/>
                    </a:xfrm>
                    <a:prstGeom prst="rect">
                      <a:avLst/>
                    </a:prstGeom>
                    <a:noFill/>
                    <a:ln w="9525">
                      <a:noFill/>
                      <a:miter lim="800000"/>
                      <a:headEnd/>
                      <a:tailEnd/>
                    </a:ln>
                  </pic:spPr>
                </pic:pic>
              </a:graphicData>
            </a:graphic>
          </wp:inline>
        </w:drawing>
      </w:r>
    </w:p>
    <w:p w14:paraId="200B3485" w14:textId="77777777" w:rsidR="00D402A1" w:rsidRDefault="00D402A1" w:rsidP="00AC04FD">
      <w:pPr>
        <w:jc w:val="both"/>
        <w:rPr>
          <w:rFonts w:ascii="Calibri" w:hAnsi="Calibri" w:cs="Arial"/>
          <w:b/>
        </w:rPr>
      </w:pPr>
    </w:p>
    <w:p w14:paraId="68EA88C9" w14:textId="77777777" w:rsidR="00D402A1" w:rsidRDefault="00D402A1" w:rsidP="00D402A1">
      <w:pPr>
        <w:jc w:val="center"/>
        <w:rPr>
          <w:rFonts w:ascii="Calibri" w:hAnsi="Calibri" w:cs="Arial"/>
          <w:b/>
        </w:rPr>
      </w:pPr>
      <w:r>
        <w:rPr>
          <w:rFonts w:ascii="Calibri" w:hAnsi="Calibri" w:cs="Arial"/>
          <w:b/>
        </w:rPr>
        <w:t>Standardy kvality SPOD</w:t>
      </w:r>
    </w:p>
    <w:p w14:paraId="088E8940" w14:textId="77777777" w:rsidR="00D402A1" w:rsidRDefault="00D402A1" w:rsidP="00D402A1">
      <w:pPr>
        <w:jc w:val="center"/>
        <w:rPr>
          <w:rFonts w:ascii="Calibri" w:hAnsi="Calibri" w:cs="Arial"/>
          <w:b/>
        </w:rPr>
      </w:pPr>
      <w:r>
        <w:rPr>
          <w:rFonts w:ascii="Calibri" w:hAnsi="Calibri" w:cs="Arial"/>
          <w:b/>
        </w:rPr>
        <w:t>Městský úřad Říčany, Odbor sociálních věcí a zdravotnictví – sociálně-právní ochrana dětí</w:t>
      </w:r>
    </w:p>
    <w:p w14:paraId="5F3403E3" w14:textId="77777777" w:rsidR="00D402A1" w:rsidRDefault="00D402A1" w:rsidP="00D402A1">
      <w:pPr>
        <w:jc w:val="center"/>
        <w:rPr>
          <w:rFonts w:ascii="Calibri" w:hAnsi="Calibri" w:cs="Arial"/>
          <w:b/>
        </w:rPr>
      </w:pPr>
      <w:r>
        <w:rPr>
          <w:rFonts w:ascii="Calibri" w:hAnsi="Calibri" w:cs="Arial"/>
          <w:b/>
        </w:rPr>
        <w:t>Komenského nám. 1850, 251 01 Říčany</w:t>
      </w:r>
    </w:p>
    <w:p w14:paraId="6985F8AC" w14:textId="77777777" w:rsidR="00D402A1" w:rsidRDefault="00D402A1" w:rsidP="00D402A1">
      <w:pPr>
        <w:rPr>
          <w:rFonts w:ascii="Calibri" w:hAnsi="Calibri" w:cs="Arial"/>
          <w:b/>
        </w:rPr>
      </w:pPr>
    </w:p>
    <w:p w14:paraId="53A1DD30" w14:textId="77777777" w:rsidR="00D402A1" w:rsidRDefault="00D402A1" w:rsidP="00D402A1">
      <w:pPr>
        <w:pStyle w:val="Odstavecseseznamem"/>
        <w:numPr>
          <w:ilvl w:val="0"/>
          <w:numId w:val="4"/>
        </w:numPr>
      </w:pPr>
      <w:r>
        <w:t>Vyřizování a podávání stížností</w:t>
      </w:r>
    </w:p>
    <w:p w14:paraId="03AF5A33" w14:textId="77777777" w:rsidR="00D402A1" w:rsidRDefault="00D402A1" w:rsidP="00D402A1">
      <w:pPr>
        <w:pStyle w:val="Odstavecseseznamem"/>
      </w:pPr>
    </w:p>
    <w:p w14:paraId="79240F3F" w14:textId="77777777" w:rsidR="00D402A1" w:rsidRDefault="00D402A1" w:rsidP="00D402A1">
      <w:pPr>
        <w:pStyle w:val="Odstavecseseznamem"/>
        <w:jc w:val="both"/>
      </w:pPr>
    </w:p>
    <w:p w14:paraId="7769D0FB" w14:textId="77777777" w:rsidR="00D402A1" w:rsidRDefault="00D402A1" w:rsidP="00D402A1">
      <w:pPr>
        <w:pStyle w:val="Odstavecseseznamem"/>
        <w:ind w:left="0"/>
        <w:rPr>
          <w:b/>
          <w:i/>
        </w:rPr>
      </w:pPr>
    </w:p>
    <w:p w14:paraId="31831902" w14:textId="77777777" w:rsidR="00D402A1" w:rsidRPr="00BF2BCF" w:rsidRDefault="00D402A1" w:rsidP="00D402A1">
      <w:pPr>
        <w:pStyle w:val="Odstavecseseznamem"/>
        <w:jc w:val="both"/>
        <w:rPr>
          <w:b/>
          <w:i/>
        </w:rPr>
      </w:pPr>
      <w:r>
        <w:rPr>
          <w:b/>
          <w:i/>
        </w:rPr>
        <w:t>13a Orgán sociálně-právní ochrany má zpracována pravidla pro podávání, vyřizování a evidenci stížností v podobě srozumitelné pro všechny klienty</w:t>
      </w:r>
    </w:p>
    <w:p w14:paraId="0D6323E4" w14:textId="77777777" w:rsidR="00D402A1" w:rsidRPr="00BF2BCF" w:rsidRDefault="00D402A1" w:rsidP="00D402A1">
      <w:pPr>
        <w:pStyle w:val="Odstavecseseznamem"/>
        <w:jc w:val="both"/>
        <w:rPr>
          <w:b/>
          <w:i/>
        </w:rPr>
      </w:pPr>
    </w:p>
    <w:p w14:paraId="2F64A437" w14:textId="77777777" w:rsidR="00D402A1" w:rsidRDefault="00D402A1" w:rsidP="00D402A1">
      <w:pPr>
        <w:pStyle w:val="Odstavecseseznamem"/>
        <w:jc w:val="both"/>
      </w:pPr>
      <w:r>
        <w:t xml:space="preserve">Pravidla pro podávání, vyřizování a evidenci stížností jsou písemně zpracována ve </w:t>
      </w:r>
      <w:r w:rsidR="00042B00">
        <w:t xml:space="preserve">vnitřní </w:t>
      </w:r>
      <w:r>
        <w:t>směrnici</w:t>
      </w:r>
      <w:r w:rsidR="00042B00">
        <w:t xml:space="preserve"> úřadu</w:t>
      </w:r>
      <w:r>
        <w:t xml:space="preserve"> č. 2/2008</w:t>
      </w:r>
      <w:r w:rsidR="003B582E">
        <w:t>,</w:t>
      </w:r>
      <w:r>
        <w:t xml:space="preserve">. </w:t>
      </w:r>
    </w:p>
    <w:p w14:paraId="42FCA946" w14:textId="77777777" w:rsidR="00CB4BCA" w:rsidRDefault="00CB4BCA" w:rsidP="00D402A1">
      <w:pPr>
        <w:pStyle w:val="Odstavecseseznamem"/>
        <w:jc w:val="both"/>
      </w:pPr>
    </w:p>
    <w:p w14:paraId="71F6AD5B" w14:textId="77777777" w:rsidR="00CB4BCA" w:rsidRDefault="00CB4BCA" w:rsidP="00CB4BCA">
      <w:pPr>
        <w:spacing w:line="276" w:lineRule="auto"/>
        <w:ind w:left="708"/>
        <w:jc w:val="both"/>
      </w:pPr>
      <w:r>
        <w:t xml:space="preserve">Městský úřad Říčany jako orgán oprávněný k zajišťování výkonu sociálně-právní ochrany dětí respektuje právo klientů na podání stížnosti. Postup pracovníků Odboru sociálních věcí </w:t>
      </w:r>
      <w:proofErr w:type="spellStart"/>
      <w:r>
        <w:t>MěÚ</w:t>
      </w:r>
      <w:proofErr w:type="spellEnd"/>
      <w:r>
        <w:t xml:space="preserve"> Říčany na úseku sociálně-právní ochrany dětí při přijímání (podávání) a vyřizování stížností se řídí vnitřní Směrnicí</w:t>
      </w:r>
      <w:r w:rsidR="003B582E">
        <w:t>.</w:t>
      </w:r>
    </w:p>
    <w:p w14:paraId="1F656E7A" w14:textId="77777777" w:rsidR="00CB4BCA" w:rsidRDefault="00CB4BCA" w:rsidP="00CB4BCA">
      <w:pPr>
        <w:spacing w:line="276" w:lineRule="auto"/>
        <w:jc w:val="both"/>
      </w:pPr>
    </w:p>
    <w:p w14:paraId="114BFFE3" w14:textId="77777777" w:rsidR="00CB4BCA" w:rsidRDefault="00CB4BCA" w:rsidP="00CB4BCA">
      <w:pPr>
        <w:spacing w:line="276" w:lineRule="auto"/>
        <w:ind w:firstLine="708"/>
        <w:jc w:val="both"/>
        <w:rPr>
          <w:b/>
          <w:bCs/>
        </w:rPr>
      </w:pPr>
      <w:r>
        <w:rPr>
          <w:b/>
          <w:bCs/>
        </w:rPr>
        <w:t>Co je považováno za stížnost</w:t>
      </w:r>
    </w:p>
    <w:p w14:paraId="2BA45878" w14:textId="77777777" w:rsidR="00CB4BCA" w:rsidRDefault="00CB4BCA" w:rsidP="00CB4BCA">
      <w:pPr>
        <w:spacing w:line="276" w:lineRule="auto"/>
        <w:ind w:left="708"/>
        <w:jc w:val="both"/>
      </w:pPr>
      <w:r>
        <w:t>Stížností se rozumí podnět, který svým obsahem poukazuje na nevhodné chování úředních osob, nesprávný postup správního orgánu nebo jiný nedostatek týkající se osobních zájmů stěžovatele. Ze stížnosti by mělo být patrné, kdo ji podává, které věci se týká, příp. co je navrhováno.</w:t>
      </w:r>
    </w:p>
    <w:p w14:paraId="5AE2C57D" w14:textId="77777777" w:rsidR="00CB4BCA" w:rsidRDefault="00CB4BCA" w:rsidP="00CB4BCA">
      <w:pPr>
        <w:spacing w:line="276" w:lineRule="auto"/>
        <w:jc w:val="both"/>
      </w:pPr>
    </w:p>
    <w:p w14:paraId="48BF3AB4" w14:textId="77777777" w:rsidR="00CB4BCA" w:rsidRDefault="00CB4BCA" w:rsidP="00CB4BCA">
      <w:pPr>
        <w:spacing w:line="276" w:lineRule="auto"/>
        <w:ind w:firstLine="708"/>
        <w:jc w:val="both"/>
        <w:rPr>
          <w:b/>
          <w:bCs/>
        </w:rPr>
      </w:pPr>
      <w:r>
        <w:rPr>
          <w:b/>
          <w:bCs/>
        </w:rPr>
        <w:t>Kdo je stěžovatelem</w:t>
      </w:r>
    </w:p>
    <w:p w14:paraId="6B3BF39D" w14:textId="77777777" w:rsidR="00CB4BCA" w:rsidRDefault="00CB4BCA" w:rsidP="00CB4BCA">
      <w:pPr>
        <w:spacing w:line="276" w:lineRule="auto"/>
        <w:ind w:left="708"/>
        <w:jc w:val="both"/>
      </w:pPr>
      <w:r>
        <w:t>Stěžovatelem je fyzická či právnická osoba, které se činnost správního orgánu v jednotlivém případě dotýká. Stížnost mohou podat i nezletilé děti.</w:t>
      </w:r>
    </w:p>
    <w:p w14:paraId="75FDC146" w14:textId="77777777" w:rsidR="00CB4BCA" w:rsidRDefault="00CB4BCA" w:rsidP="00CB4BCA">
      <w:pPr>
        <w:spacing w:line="276" w:lineRule="auto"/>
        <w:jc w:val="both"/>
      </w:pPr>
    </w:p>
    <w:p w14:paraId="22EC825B" w14:textId="77777777" w:rsidR="00CB4BCA" w:rsidRDefault="00CB4BCA" w:rsidP="00CB4BCA">
      <w:pPr>
        <w:spacing w:line="276" w:lineRule="auto"/>
        <w:ind w:firstLine="708"/>
        <w:jc w:val="both"/>
        <w:rPr>
          <w:b/>
          <w:bCs/>
        </w:rPr>
      </w:pPr>
      <w:r>
        <w:rPr>
          <w:b/>
          <w:bCs/>
        </w:rPr>
        <w:t>Jak lze stížnost podat</w:t>
      </w:r>
    </w:p>
    <w:p w14:paraId="6651B47F" w14:textId="77777777" w:rsidR="00CB4BCA" w:rsidRDefault="00CB4BCA" w:rsidP="00CB4BCA">
      <w:pPr>
        <w:spacing w:line="276" w:lineRule="auto"/>
        <w:ind w:left="708"/>
        <w:jc w:val="both"/>
      </w:pPr>
      <w:r>
        <w:t>Stížnosti se podávají v písemné podobě na podatelně městského úřadu, ústně, prostřednictvím technických prostředků nebo elektronicky. U stížnosti podané ústně, pokud nelze stížnost vyřídit ihned, sepíše o ní zaměstnanec města písemný záznam a předá vedoucímu odboru.</w:t>
      </w:r>
    </w:p>
    <w:p w14:paraId="67866B5D" w14:textId="77777777" w:rsidR="00CB4BCA" w:rsidRDefault="00CB4BCA" w:rsidP="00CB4BCA">
      <w:pPr>
        <w:spacing w:line="276" w:lineRule="auto"/>
        <w:jc w:val="both"/>
      </w:pPr>
    </w:p>
    <w:p w14:paraId="2AD1B8F6" w14:textId="77777777" w:rsidR="00CB4BCA" w:rsidRDefault="00CB4BCA" w:rsidP="00CB4BCA">
      <w:pPr>
        <w:spacing w:line="276" w:lineRule="auto"/>
        <w:ind w:firstLine="708"/>
        <w:jc w:val="both"/>
        <w:rPr>
          <w:b/>
          <w:bCs/>
        </w:rPr>
      </w:pPr>
      <w:r>
        <w:rPr>
          <w:b/>
          <w:bCs/>
        </w:rPr>
        <w:t>Vyřizování stížností</w:t>
      </w:r>
    </w:p>
    <w:p w14:paraId="4AB1779A" w14:textId="77777777" w:rsidR="00CB4BCA" w:rsidRDefault="00CB4BCA" w:rsidP="00CB4BCA">
      <w:pPr>
        <w:spacing w:line="276" w:lineRule="auto"/>
        <w:ind w:left="708"/>
        <w:jc w:val="both"/>
      </w:pPr>
      <w:r>
        <w:t>Při vyřizování stížnosti se postupuje v souladu se zákonem č. 500/2004 Sb., správní řád ve znění pozdějších předpisů.</w:t>
      </w:r>
    </w:p>
    <w:p w14:paraId="15463EAB" w14:textId="77777777" w:rsidR="00CB4BCA" w:rsidRDefault="00CB4BCA" w:rsidP="00CB4BCA">
      <w:pPr>
        <w:spacing w:line="276" w:lineRule="auto"/>
        <w:ind w:left="708"/>
        <w:jc w:val="both"/>
      </w:pPr>
    </w:p>
    <w:p w14:paraId="42DED2EE" w14:textId="77777777" w:rsidR="00CB4BCA" w:rsidRDefault="00CB4BCA" w:rsidP="00CB4BCA">
      <w:pPr>
        <w:spacing w:line="276" w:lineRule="auto"/>
        <w:ind w:left="708"/>
        <w:jc w:val="both"/>
      </w:pPr>
    </w:p>
    <w:p w14:paraId="794EBFC3" w14:textId="77777777" w:rsidR="00CB4BCA" w:rsidRDefault="00CB4BCA" w:rsidP="00CB4BCA">
      <w:pPr>
        <w:spacing w:line="276" w:lineRule="auto"/>
        <w:ind w:left="708"/>
        <w:jc w:val="both"/>
      </w:pPr>
    </w:p>
    <w:p w14:paraId="5D1F8ABB" w14:textId="77777777" w:rsidR="00CB4BCA" w:rsidRDefault="00CB4BCA" w:rsidP="00CB4BCA">
      <w:pPr>
        <w:spacing w:line="276" w:lineRule="auto"/>
        <w:jc w:val="both"/>
      </w:pPr>
    </w:p>
    <w:p w14:paraId="1E1A218B" w14:textId="77777777" w:rsidR="00CB4BCA" w:rsidRDefault="00CB4BCA" w:rsidP="00CB4BCA">
      <w:pPr>
        <w:spacing w:line="276" w:lineRule="auto"/>
        <w:ind w:firstLine="708"/>
        <w:jc w:val="both"/>
        <w:rPr>
          <w:b/>
          <w:bCs/>
        </w:rPr>
      </w:pPr>
      <w:r>
        <w:rPr>
          <w:b/>
          <w:bCs/>
        </w:rPr>
        <w:t>Vyřizování námitek podjatosti vůči pracovníkům OSPOD</w:t>
      </w:r>
    </w:p>
    <w:p w14:paraId="6B85A3C4" w14:textId="77777777" w:rsidR="00CB4BCA" w:rsidRDefault="00CB4BCA" w:rsidP="00CB4BCA">
      <w:pPr>
        <w:spacing w:line="276" w:lineRule="auto"/>
        <w:ind w:left="708"/>
        <w:jc w:val="both"/>
      </w:pPr>
      <w:r>
        <w:t>Při posuzování námitek podjatosti vůči pracovníkům OSPOD je brán zřetel především na ochranu zájmů a blaho dítěte, nikoliv na ochranu individuálních zájmů rodičů či jiných osob. Při vyloučení konkrétního pracovníka OSPOD ze všech úkonů prověřeného případu není rozhodující, zda je či není podjatý, ale to, zda mohou o jeho nepodjatosti vzniknout důvodné pochybnosti např. známost pracovníka OSPOD s jedním z rodičů apod.</w:t>
      </w:r>
    </w:p>
    <w:p w14:paraId="00E880FB" w14:textId="77777777" w:rsidR="00BB774D" w:rsidRDefault="00BB774D" w:rsidP="00CB4BCA">
      <w:pPr>
        <w:spacing w:line="276" w:lineRule="auto"/>
        <w:ind w:left="708"/>
        <w:jc w:val="both"/>
      </w:pPr>
    </w:p>
    <w:p w14:paraId="72A8CA83" w14:textId="77777777" w:rsidR="00BB774D" w:rsidRDefault="00BB774D" w:rsidP="00BB774D">
      <w:pPr>
        <w:pStyle w:val="Odstavecseseznamem"/>
        <w:jc w:val="both"/>
      </w:pPr>
      <w:r>
        <w:t>Stížnosti je možné podávat v písemné podobě bezplatně na dvou podatelnách Městského úřadu Říčany:</w:t>
      </w:r>
    </w:p>
    <w:p w14:paraId="506DFFAC" w14:textId="77777777" w:rsidR="00BB774D" w:rsidRDefault="00BB774D" w:rsidP="00BB774D">
      <w:pPr>
        <w:pStyle w:val="Odstavecseseznamem"/>
        <w:jc w:val="both"/>
      </w:pPr>
    </w:p>
    <w:p w14:paraId="26F64712" w14:textId="77777777" w:rsidR="00BB774D" w:rsidRDefault="00BB774D" w:rsidP="00BB774D">
      <w:pPr>
        <w:pStyle w:val="Odstavecseseznamem"/>
        <w:jc w:val="both"/>
      </w:pPr>
      <w:r>
        <w:t>- Masarykovo nám.  53/</w:t>
      </w:r>
      <w:proofErr w:type="gramStart"/>
      <w:r>
        <w:t xml:space="preserve">40,   </w:t>
      </w:r>
      <w:proofErr w:type="gramEnd"/>
      <w:r>
        <w:t xml:space="preserve">251 01 Říčany </w:t>
      </w:r>
    </w:p>
    <w:p w14:paraId="5111525B" w14:textId="77777777" w:rsidR="00BB774D" w:rsidRDefault="00BB774D" w:rsidP="00BB774D">
      <w:pPr>
        <w:pStyle w:val="Odstavecseseznamem"/>
        <w:jc w:val="both"/>
      </w:pPr>
      <w:r>
        <w:t>- Komenského nám. 1619/2, 251 01 Říčany</w:t>
      </w:r>
    </w:p>
    <w:p w14:paraId="20915E94" w14:textId="77777777" w:rsidR="00BB774D" w:rsidRDefault="00BB774D" w:rsidP="00BB774D">
      <w:pPr>
        <w:pStyle w:val="Odstavecseseznamem"/>
        <w:jc w:val="both"/>
      </w:pPr>
    </w:p>
    <w:p w14:paraId="03E60E5D" w14:textId="77777777" w:rsidR="00BB774D" w:rsidRDefault="00BB774D" w:rsidP="00BB774D">
      <w:pPr>
        <w:pStyle w:val="Odstavecseseznamem"/>
        <w:jc w:val="both"/>
      </w:pPr>
      <w:r>
        <w:t xml:space="preserve">Případně datovou schránkou: </w:t>
      </w:r>
      <w:proofErr w:type="spellStart"/>
      <w:r>
        <w:t>skjbfwd</w:t>
      </w:r>
      <w:proofErr w:type="spellEnd"/>
    </w:p>
    <w:p w14:paraId="2BC1BAE9" w14:textId="77777777" w:rsidR="00BB774D" w:rsidRDefault="00BB774D" w:rsidP="00BB774D">
      <w:pPr>
        <w:pStyle w:val="Odstavecseseznamem"/>
        <w:jc w:val="both"/>
      </w:pPr>
    </w:p>
    <w:p w14:paraId="422C4E2B" w14:textId="77777777" w:rsidR="00BB774D" w:rsidRDefault="00BB774D" w:rsidP="00BB774D">
      <w:pPr>
        <w:pStyle w:val="Odstavecseseznamem"/>
        <w:jc w:val="both"/>
      </w:pPr>
    </w:p>
    <w:p w14:paraId="38BF9313" w14:textId="77777777" w:rsidR="00BB774D" w:rsidRDefault="00BB774D" w:rsidP="00CB4BCA">
      <w:pPr>
        <w:spacing w:line="276" w:lineRule="auto"/>
        <w:ind w:left="708"/>
        <w:jc w:val="both"/>
      </w:pPr>
    </w:p>
    <w:p w14:paraId="287A165F" w14:textId="77777777" w:rsidR="00CB4BCA" w:rsidRDefault="00CB4BCA" w:rsidP="00CB4BCA">
      <w:pPr>
        <w:rPr>
          <w:rFonts w:ascii="Calibri" w:hAnsi="Calibri" w:cs="Calibri"/>
          <w:color w:val="1F497D"/>
          <w:sz w:val="22"/>
          <w:szCs w:val="22"/>
        </w:rPr>
      </w:pPr>
    </w:p>
    <w:p w14:paraId="6EB90583" w14:textId="77777777" w:rsidR="00CB4BCA" w:rsidRDefault="00CB4BCA" w:rsidP="00D402A1">
      <w:pPr>
        <w:pStyle w:val="Odstavecseseznamem"/>
        <w:jc w:val="both"/>
      </w:pPr>
    </w:p>
    <w:p w14:paraId="4B156BF9" w14:textId="77777777" w:rsidR="00D402A1" w:rsidRPr="00D97110" w:rsidRDefault="00D402A1" w:rsidP="00AC04FD">
      <w:pPr>
        <w:jc w:val="both"/>
        <w:rPr>
          <w:rFonts w:ascii="Calibri" w:hAnsi="Calibri" w:cs="Arial"/>
          <w:b/>
        </w:rPr>
      </w:pPr>
    </w:p>
    <w:p w14:paraId="0FDC1331" w14:textId="77777777" w:rsidR="00F03C9F" w:rsidRDefault="00F03C9F"/>
    <w:sectPr w:rsidR="00F03C9F" w:rsidSect="00965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843F6"/>
    <w:multiLevelType w:val="hybridMultilevel"/>
    <w:tmpl w:val="E8BE891C"/>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9F238D"/>
    <w:multiLevelType w:val="hybridMultilevel"/>
    <w:tmpl w:val="EA6A9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B2A2251"/>
    <w:multiLevelType w:val="hybridMultilevel"/>
    <w:tmpl w:val="FF5C39AC"/>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FC30CA7"/>
    <w:multiLevelType w:val="hybridMultilevel"/>
    <w:tmpl w:val="6F220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FD"/>
    <w:rsid w:val="00042B00"/>
    <w:rsid w:val="002A5AAD"/>
    <w:rsid w:val="003B582E"/>
    <w:rsid w:val="00450403"/>
    <w:rsid w:val="00486306"/>
    <w:rsid w:val="005B4E8C"/>
    <w:rsid w:val="0062573B"/>
    <w:rsid w:val="00632E18"/>
    <w:rsid w:val="006772AC"/>
    <w:rsid w:val="0074710F"/>
    <w:rsid w:val="007836D6"/>
    <w:rsid w:val="0080561C"/>
    <w:rsid w:val="00910434"/>
    <w:rsid w:val="0096343E"/>
    <w:rsid w:val="009655B7"/>
    <w:rsid w:val="009A3219"/>
    <w:rsid w:val="009B768A"/>
    <w:rsid w:val="00A32AC2"/>
    <w:rsid w:val="00A90633"/>
    <w:rsid w:val="00AC04FD"/>
    <w:rsid w:val="00AE5AB1"/>
    <w:rsid w:val="00B62D18"/>
    <w:rsid w:val="00BB774D"/>
    <w:rsid w:val="00BF1FF7"/>
    <w:rsid w:val="00CB4BCA"/>
    <w:rsid w:val="00CB5D4D"/>
    <w:rsid w:val="00D402A1"/>
    <w:rsid w:val="00F03C9F"/>
    <w:rsid w:val="00F40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7EF6"/>
  <w15:docId w15:val="{73FD7BC2-819B-43D2-9EB4-BBB35B6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C04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
    <w:name w:val="Char"/>
    <w:basedOn w:val="Normln"/>
    <w:rsid w:val="00AC04FD"/>
    <w:pPr>
      <w:widowControl w:val="0"/>
      <w:adjustRightInd w:val="0"/>
      <w:spacing w:after="160" w:line="240" w:lineRule="exact"/>
      <w:jc w:val="both"/>
      <w:textAlignment w:val="baseline"/>
    </w:pPr>
    <w:rPr>
      <w:rFonts w:ascii="Verdana" w:hAnsi="Verdana"/>
      <w:sz w:val="20"/>
      <w:szCs w:val="20"/>
      <w:lang w:val="en-US" w:eastAsia="en-US"/>
    </w:rPr>
  </w:style>
  <w:style w:type="paragraph" w:styleId="Odstavecseseznamem">
    <w:name w:val="List Paragraph"/>
    <w:basedOn w:val="Normln"/>
    <w:uiPriority w:val="34"/>
    <w:qFormat/>
    <w:rsid w:val="00AE5AB1"/>
    <w:pPr>
      <w:ind w:left="720"/>
      <w:contextualSpacing/>
    </w:pPr>
  </w:style>
  <w:style w:type="paragraph" w:styleId="Textbubliny">
    <w:name w:val="Balloon Text"/>
    <w:basedOn w:val="Normln"/>
    <w:link w:val="TextbublinyChar"/>
    <w:uiPriority w:val="99"/>
    <w:semiHidden/>
    <w:unhideWhenUsed/>
    <w:rsid w:val="00BF1FF7"/>
    <w:rPr>
      <w:rFonts w:ascii="Tahoma" w:hAnsi="Tahoma" w:cs="Tahoma"/>
      <w:sz w:val="16"/>
      <w:szCs w:val="16"/>
    </w:rPr>
  </w:style>
  <w:style w:type="character" w:customStyle="1" w:styleId="TextbublinyChar">
    <w:name w:val="Text bubliny Char"/>
    <w:basedOn w:val="Standardnpsmoodstavce"/>
    <w:link w:val="Textbubliny"/>
    <w:uiPriority w:val="99"/>
    <w:semiHidden/>
    <w:rsid w:val="00BF1FF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40885">
      <w:bodyDiv w:val="1"/>
      <w:marLeft w:val="0"/>
      <w:marRight w:val="0"/>
      <w:marTop w:val="0"/>
      <w:marBottom w:val="0"/>
      <w:divBdr>
        <w:top w:val="none" w:sz="0" w:space="0" w:color="auto"/>
        <w:left w:val="none" w:sz="0" w:space="0" w:color="auto"/>
        <w:bottom w:val="none" w:sz="0" w:space="0" w:color="auto"/>
        <w:right w:val="none" w:sz="0" w:space="0" w:color="auto"/>
      </w:divBdr>
    </w:div>
    <w:div w:id="1141769844">
      <w:bodyDiv w:val="1"/>
      <w:marLeft w:val="0"/>
      <w:marRight w:val="0"/>
      <w:marTop w:val="0"/>
      <w:marBottom w:val="0"/>
      <w:divBdr>
        <w:top w:val="none" w:sz="0" w:space="0" w:color="auto"/>
        <w:left w:val="none" w:sz="0" w:space="0" w:color="auto"/>
        <w:bottom w:val="none" w:sz="0" w:space="0" w:color="auto"/>
        <w:right w:val="none" w:sz="0" w:space="0" w:color="auto"/>
      </w:divBdr>
    </w:div>
    <w:div w:id="18894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2028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Chodorová Alena</dc:creator>
  <cp:lastModifiedBy>Spolková Blanka Mgr.</cp:lastModifiedBy>
  <cp:revision>8</cp:revision>
  <cp:lastPrinted>2014-12-30T11:36:00Z</cp:lastPrinted>
  <dcterms:created xsi:type="dcterms:W3CDTF">2018-03-18T08:40:00Z</dcterms:created>
  <dcterms:modified xsi:type="dcterms:W3CDTF">2018-07-12T04:33:00Z</dcterms:modified>
</cp:coreProperties>
</file>